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suppressAutoHyphens w:val="true"/>
        <w:jc w:val="center"/>
        <w:rPr/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  <w:t>CLAUSULA DE FUGA DE GAS, ROTURA, EXPLOSIÓN Y/O IMPLOSIÓN FÍSICA Y/O QUÍMICA DE TANQUES, HORNOS, CONTENEDORES, CALDEROS, GARRAFAS, ECONOMIZADORES, EQUIPOS DE CALEFACCIÓN, CALEFONES Y/O DE AIRE ACONDICIONADO, COMPRESORES, TURBINAS, EXTINTORES, MOTORES Y/U OTROS APARATOS O MAQUINARIA BAJO PRESIÓN Y/O AIRE COMPRIMIDO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2952   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Arial" w:ascii="Trebuchet MS" w:hAnsi="Trebuchet MS"/>
          <w:b/>
          <w:sz w:val="18"/>
          <w:szCs w:val="18"/>
        </w:rPr>
        <w:tab/>
        <w:tab/>
        <w:tab/>
        <w:tab/>
        <w:t>RESOLUCIÓN ADMINISTRATIVA APS/DS/No.782/2020 DE FECHA 13 DE AGOSTO DE 2020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deja constancia por medio de la presente cláusula que, en virtud al pago de la correspondiente prima adicional, queda convenido y/o estipulado que se extiende a cubrir las pérdidas o daños que sufra la propiedad asegurada, causados directamente y a consecuencia de Fugas de Gas,  Rotura, Explosión y/o Implosión Física y/o Química de Tanques, Hornos, Contenedores, Calderos, Garrafas, Economizadores, Equipos de Calefacción, Calefones y/o de Aire Acondicionado, Compresores, Turbinas, extintores, Motores y/u otros Aparatos o Maquinaria Bajo Presión y/o Aire Comprimido.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entenderá por rotura de tanques, contenedores y calderos, toda perdida o daño que sufra la propiedad asegurada, provenientes de la inundación ocasionada por dicha rotura, siempre y cuando no sean por causas imputables a la mano del hombre ni a su falta de previsión o descuido.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Sin embargo, se excluyen las pérdidas o daños de bienes, cuando sean a consecuencia directa o indirecta de los siguientes acontecimientos: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Dolo, mala fe, actos intencionales y/o negligencia del Asegurado y/o sus empleados.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los equipos hayan sido sometidos a esfuerzos mayores a sus capacidades técnicas o se les dé un uso para el cual no hayan sido diseñados.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los equipos no se encuentren debidamente instalados y en normal funcionamiento.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Equipos electrónicos de procesamiento de datos.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Bienes a la intemperie.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desgaste natural o gradual, defecto de fabricación, daños estéticos, falta de aislamiento, humo, hollín, polvo, herrumbre, corrosión, humedad o moho.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76" w:before="0" w:after="200"/>
        <w:ind w:left="851" w:hanging="356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Pérdida o daños indirectos o consecuenciales de cualquier tipo.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Queda acordado y/o convenido que, con excepción de las condiciones modificadas por la presente cláusula, todas las demás condiciones impresas de la póliza, serán igualmente aplicables a las pérdidas o daños por los riesgos cubiertos por la presente cláusula.</w:t>
      </w:r>
    </w:p>
    <w:p>
      <w:pPr>
        <w:pStyle w:val="Normal"/>
        <w:rPr>
          <w:rFonts w:ascii="Trebuchet MS" w:hAnsi="Trebuchet MS" w:cs="Arial"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5" w:hanging="70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2020-08-17T19:08:00Z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2020-08-17T19:08:00Z</dcterms:modified>
  <cp:revision>2</cp:revision>
  <dc:subject/>
  <dc:title/>
</cp:coreProperties>
</file>