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"/>
          <w:b/>
          <w:b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center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720" w:hanging="0"/>
        <w:rPr>
          <w:rFonts w:ascii="Trebuchet MS;Trebuchet MS" w:hAnsi="Trebuchet MS;Trebuchet MS" w:cs="Trebuchet MS;Trebuchet MS"/>
          <w:b/>
          <w:b/>
          <w:sz w:val="18"/>
          <w:szCs w:val="18"/>
          <w:lang w:val="es-ES_tradnl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ab/>
        <w:t xml:space="preserve">   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>CLAUSULA DE HUNDIMIENTO Y ASENTAMIENTO</w:t>
      </w:r>
    </w:p>
    <w:p>
      <w:pPr>
        <w:pStyle w:val="Normal"/>
        <w:ind w:left="1416" w:firstLine="708"/>
        <w:rPr>
          <w:rFonts w:ascii="Trebuchet MS;Trebuchet MS" w:hAnsi="Trebuchet MS;Trebuchet MS" w:cs="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06 001-2589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Queda establecido que mediante el pago de la prima adicional, la Póliza de Incendio es ampliada a los riesgos siguientes en las condiciones que a continuación se establecen: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La pérdida o daño que sufran los bienes muebles o inmuebles o ambos, asegurados contra este riesgo, que provengan o sean causados por hundimiento del terreno;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Toda pérdida o daño que sufran los mismos indicados bienes provenientes de hundimiento del terreno por infiltración del agua o subida del nivel freático, no imputables por tanto a la mano del hombre y a su previsión o descuido. Sin embargo no se extiende el presente Seguro a cubrir pérdidas o daños de bienes, cuando tales pérdidas o daños sean consecuencia directa o indirecta de los siguientes acontecimientos: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Que provenga de causas sísmicas, comúnmente denominadas terremotos o temblor;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Que la pérdida o daño provenga de trabajos efectuados en el mismo bien asegurado, sea por el propietario o por quien tenga el objeto asegurado;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Que provenga, directa o indirectamente, de explosiones, incendios, o por cualquier causa externa y ajena al hundimiento por infiltración del agua o subida del nivel freático;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Que la pérdida o daño sea permanente, directa o indirectamente, de mala construcción o por fatal de conservación o cuidad en los objetos del seguro;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Que provengan por causas de guerra interna o internacional o cualquier otro género de hostilidades;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Tampoco comprende el presente anexo al Lucro Cesante que pudiera ocasionarse como consecuencia del daño o pérdida;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Igualmente no comprende este Seguro, los daños a terceras personas o a su patrimonio.</w:t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Todos los demás términos y condiciones de la Póliza permanecen inalterados.</w:t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left="1440" w:firstLine="720"/>
        <w:jc w:val="both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p>
      <w:pPr>
        <w:pStyle w:val="Normal"/>
        <w:spacing w:lineRule="auto" w:line="360"/>
        <w:jc w:val="center"/>
        <w:rPr>
          <w:rFonts w:ascii="Trebuchet MS;Trebuchet MS" w:hAnsi="Trebuchet MS;Trebuchet MS" w:cs="Trebuchet MS;Trebuchet MS"/>
          <w:b/>
          <w:b/>
          <w:bCs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bCs/>
          <w:sz w:val="18"/>
          <w:szCs w:val="18"/>
          <w:lang w:val="es-MX"/>
        </w:rPr>
      </w:r>
    </w:p>
    <w:sectPr>
      <w:type w:val="nextPage"/>
      <w:pgSz w:w="12240" w:h="15840"/>
      <w:pgMar w:left="1418" w:right="1418" w:gutter="0" w:header="0" w:top="2268" w:footer="0" w:bottom="1418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Narrow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 Narrow" w:hAnsi="Arial Narrow" w:cs="Arial Narrow"/>
      <w:b/>
      <w:sz w:val="18"/>
    </w:rPr>
  </w:style>
  <w:style w:type="character" w:styleId="WW8Num1z0">
    <w:name w:val="WW8Num1z0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2000-01-10T15:32:00Z</dcterms:created>
  <dc:creator>user</dc:creator>
  <dc:description/>
  <cp:keywords/>
  <dc:language>en-US</dc:language>
  <cp:lastModifiedBy>Franz Brian Muñoz Nery</cp:lastModifiedBy>
  <cp:lastPrinted>2015-07-09T16:18:00Z</cp:lastPrinted>
  <dcterms:modified xsi:type="dcterms:W3CDTF">2015-07-09T16:18:00Z</dcterms:modified>
  <cp:revision>9</cp:revision>
  <dc:subject/>
  <dc:title>CLÁUSULA DE HUNDIMIENTO Y ASENTAMIENTO</dc:title>
</cp:coreProperties>
</file>