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Arial Black" w:cs="Arial Black" w:ascii="Arial Black" w:hAnsi="Arial Black"/>
          <w:b/>
          <w:sz w:val="18"/>
          <w:szCs w:val="18"/>
          <w:lang w:val="es-BO"/>
        </w:rPr>
        <w:t xml:space="preserve">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      </w:t>
      </w:r>
      <w:r>
        <w:rPr>
          <w:rFonts w:cs="Trebuchet MS" w:ascii="Trebuchet MS" w:hAnsi="Trebuchet MS"/>
          <w:b/>
          <w:sz w:val="18"/>
          <w:szCs w:val="18"/>
          <w:lang w:val="es-BO"/>
        </w:rPr>
        <w:tab/>
        <w:t xml:space="preserve">                   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CLAUSULA DE INCLUSION DE MEJORAS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06 001-2247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18"/>
          <w:szCs w:val="18"/>
          <w:lang w:val="pt-BR"/>
        </w:rPr>
      </w:pPr>
      <w:r>
        <w:rPr>
          <w:rFonts w:cs="Arial" w:ascii="Arial" w:hAnsi="Arial"/>
          <w:b/>
          <w:spacing w:val="-2"/>
          <w:sz w:val="18"/>
          <w:szCs w:val="18"/>
          <w:lang w:val="pt-BR"/>
        </w:rPr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18"/>
          <w:szCs w:val="18"/>
          <w:lang w:val="es-AR"/>
        </w:rPr>
      </w:pPr>
      <w:r>
        <w:rPr>
          <w:rFonts w:cs="Arial" w:ascii="Arial" w:hAnsi="Arial"/>
          <w:b/>
          <w:spacing w:val="-2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>La presente Cláusula se extiende a garantizar la cobertura del Seguro principal a las mejoras efectuadas en los Edificios asegurados, mediante el pago de la prima adicional respectiva, calculada sobre el valor de tales mejoras o inclusiones efectuadas, a las mismas tasas y en forma proporcional al tiempo que falte para el vencimiento de la Póliza.</w:t>
      </w:r>
    </w:p>
    <w:p>
      <w:pPr>
        <w:pStyle w:val="Normal"/>
        <w:jc w:val="center"/>
        <w:rPr>
          <w:rFonts w:ascii="Arial" w:hAnsi="Arial" w:cs="Arial"/>
          <w:b/>
          <w:b/>
          <w:spacing w:val="-3"/>
          <w:sz w:val="18"/>
          <w:szCs w:val="18"/>
        </w:rPr>
      </w:pPr>
      <w:r>
        <w:rPr>
          <w:rFonts w:cs="Arial" w:ascii="Arial" w:hAnsi="Arial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3"/>
          <w:sz w:val="18"/>
          <w:szCs w:val="18"/>
        </w:rPr>
      </w:pPr>
      <w:r>
        <w:rPr>
          <w:rFonts w:cs="Trebuchet MS" w:ascii="Trebuchet MS" w:hAnsi="Trebuchet MS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ind w:left="1440" w:firstLine="720"/>
        <w:jc w:val="both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Arial Black" w:ascii="Arial Black" w:hAnsi="Arial Black"/>
          <w:b/>
          <w:sz w:val="18"/>
          <w:szCs w:val="18"/>
          <w:lang w:val="es-BO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Arial Black" w:ascii="Arial Black" w:hAnsi="Arial Black"/>
          <w:b/>
          <w:sz w:val="18"/>
          <w:szCs w:val="18"/>
          <w:lang w:val="es-BO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2007-04-26T08:52:00Z</dcterms:created>
  <dc:creator>Luis Enrique</dc:creator>
  <dc:description/>
  <cp:keywords/>
  <dc:language>en-US</dc:language>
  <cp:lastModifiedBy>Jaime Alejandro Beltran</cp:lastModifiedBy>
  <dcterms:modified xsi:type="dcterms:W3CDTF">2015-06-24T09:56:00Z</dcterms:modified>
  <cp:revision>7</cp:revision>
  <dc:subject/>
  <dc:title>CLAUSULA DE EXTRATERRITORIALIDAD</dc:title>
</cp:coreProperties>
</file>