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</w:rPr>
        <w:t xml:space="preserve">                                </w:t>
      </w:r>
      <w:r>
        <w:rPr>
          <w:rFonts w:cs="Arial;Arial" w:ascii="Trebuchet MS;Trebuchet MS" w:hAnsi="Trebuchet MS;Trebuchet MS"/>
          <w:b/>
          <w:sz w:val="18"/>
          <w:szCs w:val="18"/>
        </w:rPr>
        <w:t>PÓLIZA DE SEGURO DE TODO RIESGO DE DAÑOS A LA PROPIEDAD</w:t>
      </w:r>
    </w:p>
    <w:p>
      <w:pPr>
        <w:pStyle w:val="Normal"/>
        <w:ind w:left="640" w:firstLine="8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</w:rPr>
        <w:t xml:space="preserve">                    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>RESOLUCIÓN ADMINISTRATIVA /SPVS/IS/No. 415 de fecha 13 de Junio de 2007</w:t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134" w:leader="none"/>
          <w:tab w:val="left" w:pos="1338" w:leader="none"/>
          <w:tab w:val="left" w:pos="1440" w:leader="none"/>
          <w:tab w:val="left" w:pos="2160" w:leader="none"/>
          <w:tab w:val="left" w:pos="2491" w:leader="none"/>
          <w:tab w:val="left" w:pos="2880" w:leader="none"/>
          <w:tab w:val="left" w:pos="3262" w:leader="none"/>
          <w:tab w:val="left" w:pos="3600" w:leader="none"/>
          <w:tab w:val="left" w:pos="4320" w:leader="none"/>
          <w:tab w:val="left" w:pos="5040" w:leader="none"/>
          <w:tab w:val="left" w:pos="5544" w:leader="none"/>
          <w:tab w:val="left" w:pos="5760" w:leader="none"/>
          <w:tab w:val="left" w:pos="6480" w:leader="none"/>
          <w:tab w:val="left" w:pos="7200" w:leader="none"/>
          <w:tab w:val="left" w:pos="7349" w:leader="none"/>
          <w:tab w:val="left" w:pos="7920" w:leader="none"/>
        </w:tabs>
        <w:suppressAutoHyphens w:val="true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CLAUSULA DE LIMITACION DE COBERTURA PARA BILLARES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</w:rPr>
        <w:t xml:space="preserve">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>Código Asignado 115-910101-2007 06 001-2257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>Resolución ASFI Nº 256/2010 de fecha 31 de marzo de 2010</w:t>
      </w:r>
    </w:p>
    <w:p>
      <w:pPr>
        <w:pStyle w:val="Normal"/>
        <w:rPr>
          <w:rFonts w:ascii="Arial;Arial" w:hAnsi="Arial;Arial" w:cs="Arial;Arial"/>
          <w:b/>
          <w:b/>
          <w:spacing w:val="-2"/>
          <w:sz w:val="18"/>
          <w:szCs w:val="18"/>
          <w:lang w:val="pt-BR"/>
        </w:rPr>
      </w:pPr>
      <w:r>
        <w:rPr>
          <w:rFonts w:cs="Arial;Arial" w:ascii="Arial;Arial" w:hAnsi="Arial;Arial"/>
          <w:b/>
          <w:spacing w:val="-2"/>
          <w:sz w:val="18"/>
          <w:szCs w:val="18"/>
          <w:lang w:val="pt-BR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  <w:lang w:val="pt-BR"/>
        </w:rPr>
      </w:pPr>
      <w:r>
        <w:rPr>
          <w:rFonts w:cs="Arial;Arial" w:ascii="Trebuchet MS;Trebuchet MS" w:hAnsi="Trebuchet MS;Trebuchet MS"/>
          <w:sz w:val="18"/>
          <w:szCs w:val="18"/>
          <w:lang w:val="pt-BR"/>
        </w:rPr>
      </w:r>
    </w:p>
    <w:p>
      <w:pPr>
        <w:pStyle w:val="WWTextoindependiente3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La Compañía no se hace responsable por ningún daño causado a las mesas de billar aseguradas, a consecuencia de caída, explosión o rotura de lámparas, caídas de reflectores, quemaduras causadas en las mesas o sus daños por pipas, puros, cigarros, fósforos, encendedores, o cosas encendidas que caigan sobre ellas, como tampoco por daños que sufra el paño por el uso de planchas.</w:t>
      </w:r>
    </w:p>
    <w:p>
      <w:pPr>
        <w:pStyle w:val="Normal"/>
        <w:jc w:val="center"/>
        <w:rPr>
          <w:rFonts w:ascii="Arial;Arial" w:hAnsi="Arial;Arial" w:cs="Arial;Arial"/>
          <w:b/>
          <w:b/>
          <w:spacing w:val="-3"/>
          <w:sz w:val="18"/>
          <w:szCs w:val="18"/>
          <w:lang w:val="es-ES_tradnl"/>
        </w:rPr>
      </w:pPr>
      <w:r>
        <w:rPr>
          <w:rFonts w:cs="Arial;Arial" w:ascii="Arial;Arial" w:hAnsi="Arial;Arial"/>
          <w:b/>
          <w:spacing w:val="-3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;Times New Roman" w:cs="Times New Roman;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character" w:styleId="Ttulo4Car">
    <w:name w:val="Título 4 Car"/>
    <w:qFormat/>
    <w:rPr>
      <w:rFonts w:ascii="Calibri" w:hAnsi="Calibri" w:eastAsia="Times New Roman;Times New Roman" w:cs="Times New Roman;Times New Roman"/>
      <w:b/>
      <w:bCs/>
      <w:sz w:val="28"/>
      <w:szCs w:val="2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2007-04-26T08:54:00Z</dcterms:created>
  <dc:creator>Luis Enrique</dc:creator>
  <dc:description/>
  <cp:keywords/>
  <dc:language>en-US</dc:language>
  <cp:lastModifiedBy>Jaime Alejandro Beltran</cp:lastModifiedBy>
  <dcterms:modified xsi:type="dcterms:W3CDTF">2015-06-03T11:29:00Z</dcterms:modified>
  <cp:revision>8</cp:revision>
  <dc:subject/>
  <dc:title>CLAUSULA DE EXTRATERRITORIALIDAD</dc:title>
</cp:coreProperties>
</file>