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/>
          <w:b/>
          <w:b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extBodyIndent"/>
        <w:widowControl/>
        <w:jc w:val="center"/>
        <w:rPr>
          <w:rFonts w:ascii="Trebuchet MS;Trebuchet MS" w:hAnsi="Trebuchet MS;Trebuchet MS" w:cs="Trebuchet MS;Trebuchet MS"/>
          <w:b/>
          <w:b/>
          <w:sz w:val="18"/>
        </w:rPr>
      </w:pPr>
      <w:r>
        <w:rPr>
          <w:rFonts w:cs="Trebuchet MS;Trebuchet MS" w:ascii="Trebuchet MS;Trebuchet MS" w:hAnsi="Trebuchet MS;Trebuchet MS"/>
          <w:b/>
          <w:sz w:val="18"/>
        </w:rPr>
        <w:t>CLAUSULA DE MARCA DE FÁBRICA O MARCAS REGISTRADAS O COMERCIALES</w:t>
      </w:r>
    </w:p>
    <w:p>
      <w:pPr>
        <w:pStyle w:val="Normal"/>
        <w:ind w:left="1416" w:firstLine="708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06 001-2151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extBodyIndent"/>
        <w:widowControl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extBodyIndent"/>
        <w:widowControl/>
        <w:rPr>
          <w:rFonts w:ascii="Trebuchet MS;Trebuchet MS" w:hAnsi="Trebuchet MS;Trebuchet MS" w:cs="Trebuchet MS;Trebuchet MS"/>
          <w:b/>
          <w:b/>
          <w:sz w:val="18"/>
        </w:rPr>
      </w:pPr>
      <w:r>
        <w:rPr>
          <w:rFonts w:cs="Trebuchet MS;Trebuchet MS" w:ascii="Trebuchet MS;Trebuchet MS" w:hAnsi="Trebuchet MS;Trebuchet MS"/>
          <w:b/>
          <w:sz w:val="18"/>
        </w:rPr>
      </w:r>
    </w:p>
    <w:p>
      <w:pPr>
        <w:pStyle w:val="TextBodyIndent"/>
        <w:widowControl/>
        <w:rPr>
          <w:rFonts w:ascii="Trebuchet MS;Trebuchet MS" w:hAnsi="Trebuchet MS;Trebuchet MS" w:cs="Trebuchet MS;Trebuchet MS"/>
          <w:sz w:val="18"/>
        </w:rPr>
      </w:pPr>
      <w:r>
        <w:rPr>
          <w:rFonts w:cs="Trebuchet MS;Trebuchet MS" w:ascii="Trebuchet MS;Trebuchet MS" w:hAnsi="Trebuchet MS;Trebuchet MS"/>
          <w:sz w:val="18"/>
        </w:rPr>
        <w:t>En caso de daño a un bien que posea una marca de fabrica o una marca registrada o comercial, o que de alguna forma tenga o implique la garantía de la responsabilidad del fabricante o del Asegurado, el valor de salvamento de dicho bien dañado se determinara después de eliminadas, en la forma usual, marcas de fabrica mencionadas o marcas registradas o comerciales, u otras características que los identifiquen.</w:t>
      </w:r>
    </w:p>
    <w:p>
      <w:pPr>
        <w:pStyle w:val="TextBodyIndent"/>
        <w:widowControl/>
        <w:rPr>
          <w:rFonts w:ascii="Trebuchet MS;Trebuchet MS" w:hAnsi="Trebuchet MS;Trebuchet MS" w:cs="Trebuchet MS;Trebuchet MS"/>
          <w:sz w:val="18"/>
        </w:rPr>
      </w:pPr>
      <w:r>
        <w:rPr>
          <w:rFonts w:cs="Trebuchet MS;Trebuchet MS" w:ascii="Trebuchet MS;Trebuchet MS" w:hAnsi="Trebuchet MS;Trebuchet MS"/>
          <w:sz w:val="18"/>
        </w:rPr>
      </w:r>
    </w:p>
    <w:p>
      <w:pPr>
        <w:pStyle w:val="TextBodyIndent"/>
        <w:widowControl/>
        <w:rPr>
          <w:rFonts w:ascii="Trebuchet MS;Trebuchet MS" w:hAnsi="Trebuchet MS;Trebuchet MS" w:cs="Trebuchet MS;Trebuchet MS"/>
          <w:sz w:val="18"/>
        </w:rPr>
      </w:pPr>
      <w:r>
        <w:rPr>
          <w:rFonts w:cs="Trebuchet MS;Trebuchet MS" w:ascii="Trebuchet MS;Trebuchet MS" w:hAnsi="Trebuchet MS;Trebuchet MS"/>
          <w:sz w:val="18"/>
        </w:rPr>
        <w:t>El Asegurado tendrá pleno derecho a la posesión de todas las mercaderías involucradas en cualquier siniestro bajo esta Póliza, y retendrá el control de todas las mercaderías dañadas.</w:t>
      </w:r>
    </w:p>
    <w:p>
      <w:pPr>
        <w:pStyle w:val="TextBodyIndent"/>
        <w:widowControl/>
        <w:rPr>
          <w:rFonts w:ascii="Trebuchet MS;Trebuchet MS" w:hAnsi="Trebuchet MS;Trebuchet MS" w:cs="Trebuchet MS;Trebuchet MS"/>
          <w:sz w:val="18"/>
        </w:rPr>
      </w:pPr>
      <w:r>
        <w:rPr>
          <w:rFonts w:cs="Trebuchet MS;Trebuchet MS" w:ascii="Trebuchet MS;Trebuchet MS" w:hAnsi="Trebuchet MS;Trebuchet MS"/>
          <w:sz w:val="18"/>
        </w:rPr>
      </w:r>
    </w:p>
    <w:p>
      <w:pPr>
        <w:pStyle w:val="TextBodyIndent"/>
        <w:widowControl/>
        <w:rPr>
          <w:rFonts w:ascii="Trebuchet MS;Trebuchet MS" w:hAnsi="Trebuchet MS;Trebuchet MS" w:cs="Trebuchet MS;Trebuchet MS"/>
          <w:sz w:val="18"/>
        </w:rPr>
      </w:pPr>
      <w:r>
        <w:rPr>
          <w:rFonts w:cs="Trebuchet MS;Trebuchet MS" w:ascii="Trebuchet MS;Trebuchet MS" w:hAnsi="Trebuchet MS;Trebuchet MS"/>
          <w:sz w:val="18"/>
        </w:rPr>
        <w:t>El Asegurado, actuando a su exclusiva y razonable discreción, será el único autorizado para determinar si las mercaderías involucradas en un siniestro bajo esta Póliza son aptas para su utilización, y ninguna mercadería a juicio del Asegurado que este no considere aptas para el uso no se venderá ni de lo contrario se desechara excepto por parte del Asegurado o con su consentimiento, sin embargo, el Asegurado le permitirá a la Compañía cualquier salvamento obtenido por el Asegurado por la venta u otro desecho de dichas mercaderías.</w:t>
      </w:r>
    </w:p>
    <w:p>
      <w:pPr>
        <w:pStyle w:val="TextBodyIndent"/>
        <w:widowControl/>
        <w:rPr>
          <w:rFonts w:ascii="Trebuchet MS;Trebuchet MS" w:hAnsi="Trebuchet MS;Trebuchet MS" w:cs="Trebuchet MS;Trebuchet MS"/>
          <w:sz w:val="18"/>
        </w:rPr>
      </w:pPr>
      <w:r>
        <w:rPr>
          <w:rFonts w:cs="Trebuchet MS;Trebuchet MS" w:ascii="Trebuchet MS;Trebuchet MS" w:hAnsi="Trebuchet MS;Trebuchet MS"/>
          <w:sz w:val="18"/>
        </w:rPr>
      </w:r>
    </w:p>
    <w:p>
      <w:pPr>
        <w:pStyle w:val="TextBodyIndent"/>
        <w:widowControl/>
        <w:rPr>
          <w:rFonts w:ascii="Trebuchet MS;Trebuchet MS" w:hAnsi="Trebuchet MS;Trebuchet MS" w:cs="Trebuchet MS;Trebuchet MS"/>
          <w:sz w:val="18"/>
        </w:rPr>
      </w:pPr>
      <w:r>
        <w:rPr>
          <w:rFonts w:cs="Trebuchet MS;Trebuchet MS" w:ascii="Trebuchet MS;Trebuchet MS" w:hAnsi="Trebuchet MS;Trebuchet MS"/>
          <w:sz w:val="18"/>
        </w:rPr>
        <w:t>Todos los demás términos y condiciones permanecen sin modificación.</w:t>
      </w:r>
    </w:p>
    <w:p>
      <w:pPr>
        <w:pStyle w:val="Normal"/>
        <w:rPr>
          <w:rFonts w:ascii="Trebuchet MS;Trebuchet MS" w:hAnsi="Trebuchet MS;Trebuchet MS" w:cs="Trebuchet MS;Trebuchet MS"/>
          <w:sz w:val="18"/>
          <w:lang w:val="es-ES"/>
        </w:rPr>
      </w:pPr>
      <w:r>
        <w:rPr>
          <w:rFonts w:cs="Trebuchet MS;Trebuchet MS" w:ascii="Trebuchet MS;Trebuchet MS" w:hAnsi="Trebuchet MS;Trebuchet MS"/>
          <w:sz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24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24"/>
          <w:lang w:val="es-BO"/>
        </w:rPr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Arial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;Arial" w:hAnsi="Arial;Arial" w:cs="Arial;Arial"/>
      <w:b/>
      <w:sz w:val="16"/>
      <w:lang w:val="es-ES_tradnl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Times New Roman;Times New Roman" w:hAnsi="Times New Roman;Times New Roman" w:cs="Times New Roman;Times New Roman"/>
      <w:b/>
      <w:u w:val="single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BodyIndent">
    <w:name w:val="Body Text Indent"/>
    <w:basedOn w:val="Normal"/>
    <w:pPr>
      <w:ind w:left="708" w:hanging="0"/>
      <w:jc w:val="both"/>
    </w:pPr>
    <w:rPr>
      <w:rFonts w:ascii="Times New Roman;Times New Roman" w:hAnsi="Times New Roman;Times New Roman" w:cs="Times New Roman;Times New Roman"/>
      <w:sz w:val="20"/>
      <w:lang w:val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2007-03-25T19:15:00Z</dcterms:created>
  <dc:creator>deneira</dc:creator>
  <dc:description/>
  <cp:keywords/>
  <dc:language>en-US</dc:language>
  <cp:lastModifiedBy>Carmen R. Llusco Gomez</cp:lastModifiedBy>
  <dcterms:modified xsi:type="dcterms:W3CDTF">2015-06-24T18:02:00Z</dcterms:modified>
  <cp:revision>8</cp:revision>
  <dc:subject/>
  <dc:title>“Latina”</dc:title>
</cp:coreProperties>
</file>