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tabs>
          <w:tab w:val="clear" w:pos="708"/>
          <w:tab w:val="right" w:pos="9360" w:leader="none"/>
        </w:tabs>
        <w:suppressAutoHyphens w:val="true"/>
        <w:rPr>
          <w:rFonts w:ascii="Trebuchet MS;Trebuchet MS" w:hAnsi="Trebuchet MS;Trebuchet MS"/>
          <w:b/>
          <w:b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z w:val="18"/>
          <w:szCs w:val="18"/>
          <w:lang w:val="es-BO"/>
        </w:rPr>
        <w:t xml:space="preserve">                             </w:t>
      </w:r>
      <w:r>
        <w:rPr>
          <w:rFonts w:cs="Arial;Arial" w:ascii="Trebuchet MS;Trebuchet MS" w:hAnsi="Trebuchet MS;Trebuchet MS"/>
          <w:b/>
          <w:sz w:val="18"/>
          <w:szCs w:val="18"/>
          <w:lang w:val="es-BO"/>
        </w:rPr>
        <w:t>PÓLIZA DE SEGURO DE TODO RIESGO DE DAÑOS A LA PROPIEDAD</w:t>
      </w:r>
    </w:p>
    <w:p>
      <w:pPr>
        <w:pStyle w:val="Normal"/>
        <w:ind w:left="640" w:firstLine="80"/>
        <w:rPr/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                  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</w:t>
      </w:r>
    </w:p>
    <w:p>
      <w:pPr>
        <w:pStyle w:val="Normal"/>
        <w:ind w:left="640" w:firstLine="80"/>
        <w:rPr>
          <w:rFonts w:ascii="Trebuchet MS;Trebuchet MS" w:hAnsi="Trebuchet MS;Trebuchet MS"/>
          <w:b/>
          <w:b/>
          <w:spacing w:val="-2"/>
          <w:sz w:val="18"/>
          <w:szCs w:val="18"/>
          <w:lang w:val="es-BO"/>
        </w:rPr>
      </w:pPr>
      <w:r>
        <w:rPr>
          <w:rFonts w:eastAsia="Trebuchet MS;Trebuchet MS" w:cs="Trebuchet MS;Trebuchet MS" w:ascii="Trebuchet MS;Trebuchet MS" w:hAnsi="Trebuchet MS;Trebuchet MS"/>
          <w:b/>
          <w:spacing w:val="-2"/>
          <w:sz w:val="18"/>
          <w:szCs w:val="18"/>
          <w:lang w:val="es-BO"/>
        </w:rPr>
        <w:t xml:space="preserve">          </w:t>
      </w: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ADMINISTRATIVA /SPVS/IS/No. 415 de fecha 13 de Junio de 2007</w:t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;Trebuchet MS" w:hAnsi="Trebuchet MS;Trebuchet MS" w:cs="Trebuchet MS;Trebuchet MS"/>
          <w:b/>
          <w:b/>
          <w:spacing w:val="-2"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134" w:leader="none"/>
          <w:tab w:val="left" w:pos="1338" w:leader="none"/>
          <w:tab w:val="left" w:pos="1440" w:leader="none"/>
          <w:tab w:val="left" w:pos="2160" w:leader="none"/>
          <w:tab w:val="left" w:pos="2491" w:leader="none"/>
          <w:tab w:val="left" w:pos="2880" w:leader="none"/>
          <w:tab w:val="left" w:pos="3262" w:leader="none"/>
          <w:tab w:val="left" w:pos="3600" w:leader="none"/>
          <w:tab w:val="left" w:pos="4320" w:leader="none"/>
          <w:tab w:val="left" w:pos="5040" w:leader="none"/>
          <w:tab w:val="left" w:pos="5544" w:leader="none"/>
          <w:tab w:val="left" w:pos="5760" w:leader="none"/>
          <w:tab w:val="left" w:pos="6480" w:leader="none"/>
          <w:tab w:val="left" w:pos="7200" w:leader="none"/>
          <w:tab w:val="left" w:pos="7349" w:leader="none"/>
          <w:tab w:val="left" w:pos="7920" w:leader="none"/>
        </w:tabs>
        <w:suppressAutoHyphens w:val="true"/>
        <w:jc w:val="both"/>
        <w:rPr>
          <w:rFonts w:ascii="Trebuchet MS;Trebuchet MS" w:hAnsi="Trebuchet MS;Trebuchet MS" w:cs="Trebuchet MS;Trebuchet MS"/>
          <w:b/>
          <w:b/>
          <w:spacing w:val="-2"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b/>
          <w:spacing w:val="-2"/>
          <w:sz w:val="18"/>
          <w:szCs w:val="18"/>
          <w:lang w:val="es-BO"/>
        </w:rPr>
      </w:r>
    </w:p>
    <w:p>
      <w:pPr>
        <w:pStyle w:val="Normal"/>
        <w:rPr/>
      </w:pPr>
      <w:r>
        <w:rPr>
          <w:rFonts w:eastAsia="Trebuchet MS;Trebuchet MS" w:cs="Trebuchet MS;Trebuchet MS" w:ascii="Trebuchet MS;Trebuchet MS" w:hAnsi="Trebuchet MS;Trebuchet MS"/>
          <w:b/>
          <w:sz w:val="18"/>
          <w:szCs w:val="18"/>
          <w:lang w:val="es-BO"/>
        </w:rPr>
        <w:t xml:space="preserve">                                                           </w:t>
      </w:r>
      <w:r>
        <w:rPr>
          <w:rFonts w:cs="Trebuchet MS;Trebuchet MS" w:ascii="Trebuchet MS;Trebuchet MS" w:hAnsi="Trebuchet MS;Trebuchet MS"/>
          <w:b/>
          <w:sz w:val="18"/>
          <w:szCs w:val="18"/>
          <w:lang w:val="es-BO"/>
        </w:rPr>
        <w:t>CLAUSULA DE REEMPLAZO</w:t>
      </w:r>
    </w:p>
    <w:p>
      <w:pPr>
        <w:pStyle w:val="Normal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Código Asignado 115-910101-2007 06 001-2448</w:t>
      </w:r>
    </w:p>
    <w:p>
      <w:pPr>
        <w:pStyle w:val="Normal"/>
        <w:jc w:val="center"/>
        <w:rPr>
          <w:rFonts w:ascii="Trebuchet MS;Trebuchet MS" w:hAnsi="Trebuchet MS;Trebuchet MS" w:cs="Arial;Arial"/>
          <w:b/>
          <w:b/>
          <w:spacing w:val="-2"/>
          <w:sz w:val="18"/>
          <w:szCs w:val="18"/>
          <w:lang w:val="es-BO"/>
        </w:rPr>
      </w:pPr>
      <w:r>
        <w:rPr>
          <w:rFonts w:cs="Arial;Arial" w:ascii="Trebuchet MS;Trebuchet MS" w:hAnsi="Trebuchet MS;Trebuchet MS"/>
          <w:b/>
          <w:spacing w:val="-2"/>
          <w:sz w:val="18"/>
          <w:szCs w:val="18"/>
          <w:lang w:val="es-BO"/>
        </w:rPr>
        <w:t>Resolución ASFI Nº 256/2010 de fecha 31 de marzo de 2010</w:t>
      </w:r>
    </w:p>
    <w:p>
      <w:pPr>
        <w:pStyle w:val="Heading1"/>
        <w:jc w:val="left"/>
        <w:rPr>
          <w:rFonts w:ascii="Trebuchet MS;Trebuchet MS" w:hAnsi="Trebuchet MS;Trebuchet MS" w:cs="Trebuchet MS;Trebuchet MS"/>
          <w:b w:val="false"/>
          <w:b w:val="false"/>
          <w:shadow/>
          <w:spacing w:val="-2"/>
          <w:sz w:val="18"/>
          <w:szCs w:val="18"/>
          <w:lang w:val="es-BO"/>
        </w:rPr>
      </w:pPr>
      <w:r>
        <w:rPr>
          <w:rFonts w:cs="Trebuchet MS;Trebuchet MS" w:ascii="Trebuchet MS;Trebuchet MS" w:hAnsi="Trebuchet MS;Trebuchet MS"/>
          <w:b w:val="false"/>
          <w:shadow/>
          <w:spacing w:val="-2"/>
          <w:sz w:val="18"/>
          <w:szCs w:val="18"/>
          <w:lang w:val="es-BO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hadow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hadow/>
          <w:sz w:val="18"/>
          <w:szCs w:val="18"/>
          <w:lang w:val="es-MX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En virtud de esta Cláusula que entendido y convenido que, en el caso de la destrucción de, o daños a los bienes especificados en la póliza como consecuencia de los riesgos cubiertos por ella, la cantidad a pagarse por la Compañía  por concepto de indemnización será calculada sobre la base del costo de reemplazo de dichos bienes, con sujeción a las Condiciones Especiales mencionadas a continuación, así como las generales impresas en ella, exceptuando  lo expresamente variado por esta cláusula.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Para los fines de esta cláusula, la palabra “REEMPLAZO” significará: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TextBody"/>
        <w:numPr>
          <w:ilvl w:val="0"/>
          <w:numId w:val="3"/>
        </w:numPr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Cuando los bienes sean destruidos, la reconstrucción si se trata de edificios o en el caso de otros bienes su reemplazo por otros similares nuevos; en ambos casos, de iguales características y no de mejor calidad ni más extensivos ni de mayor capacidad que cuando eran nuevos.</w:t>
      </w:r>
    </w:p>
    <w:p>
      <w:pPr>
        <w:pStyle w:val="Normal"/>
        <w:numPr>
          <w:ilvl w:val="0"/>
          <w:numId w:val="3"/>
        </w:numPr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Cuando los bienes sean dañados, las reparaciones y restauraciones necesarias para dejarlos en las mismas condiciones en que se encontraban antes del daño.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tabs>
          <w:tab w:val="clear" w:pos="708"/>
          <w:tab w:val="left" w:pos="426" w:leader="none"/>
        </w:tabs>
        <w:jc w:val="both"/>
        <w:rPr>
          <w:rFonts w:ascii="Trebuchet MS;Trebuchet MS" w:hAnsi="Trebuchet MS;Trebuchet MS" w:cs="Trebuchet MS;Trebuchet MS"/>
          <w:b/>
          <w:b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MX"/>
        </w:rPr>
        <w:t>CONDICIONES ESPECIALES:</w:t>
      </w:r>
    </w:p>
    <w:p>
      <w:pPr>
        <w:pStyle w:val="Normal"/>
        <w:tabs>
          <w:tab w:val="clear" w:pos="708"/>
          <w:tab w:val="left" w:pos="426" w:leader="none"/>
        </w:tabs>
        <w:jc w:val="both"/>
        <w:rPr>
          <w:rFonts w:ascii="Trebuchet MS;Trebuchet MS" w:hAnsi="Trebuchet MS;Trebuchet MS" w:cs="Trebuchet MS;Trebuchet MS"/>
          <w:b/>
          <w:b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MX"/>
        </w:rPr>
      </w:r>
    </w:p>
    <w:p>
      <w:pPr>
        <w:pStyle w:val="Normal"/>
        <w:numPr>
          <w:ilvl w:val="0"/>
          <w:numId w:val="2"/>
        </w:numPr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Los trabajos de reemplazo (que pueden ser ejecutados en otro lugar y de cualquier manera conveniente a las necesidades del Asegurado, siempre que la responsabilidad de la Compañía no sea aumentada) deben  ser iniciados y llevados a cabo con la debida diligencia y en todo caso deben ser terminados dentro del período de 12 meses contados desde la fecha del siniestro o dentro del período adicional que la Compañía pueda (durante dicho período) acordar por escrito. De otra manera, la Compañía no estará obligada a indemnizar si la propiedad hubiera resultado totalmente incluida.</w:t>
      </w:r>
    </w:p>
    <w:p>
      <w:pPr>
        <w:pStyle w:val="Normal"/>
        <w:numPr>
          <w:ilvl w:val="0"/>
          <w:numId w:val="2"/>
        </w:numPr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Cuando cualesquiera de los bienes asegurados sean dañados o destruidos solamente en parte, la responsabilidad de la Compañía no excederá del valor por el cual hubiere estado obligada a indemnizar si la propiedad hubiera resultado totalmente destruida.</w:t>
      </w:r>
    </w:p>
    <w:p>
      <w:pPr>
        <w:pStyle w:val="Normal"/>
        <w:numPr>
          <w:ilvl w:val="0"/>
          <w:numId w:val="2"/>
        </w:numPr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La Compañía no estará obligada a indemnizar mayor suma que la que le hubiere correspondido pagar si esta cláusula no hubiera sido incluida, mientras que no se haya incurrido en los gastos de reemplazo.</w:t>
      </w:r>
    </w:p>
    <w:p>
      <w:pPr>
        <w:pStyle w:val="Normal"/>
        <w:ind w:left="420" w:hanging="0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Esta cláusula también quedará sin efecto si el asegurado no declara a la Compañía dentro del plazo de los meses posteriores a la fecha de la destrucción o del daño, o en cualquier período adicional que la Compañía hubiese autorizado, de intención de reemplazar o reparar la propiedad destruida.</w:t>
      </w:r>
    </w:p>
    <w:p>
      <w:pPr>
        <w:pStyle w:val="Normal"/>
        <w:numPr>
          <w:ilvl w:val="0"/>
          <w:numId w:val="2"/>
        </w:numPr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Se declara que cada inciso  de la especificación de los bienes asegurados bajo esta Cláusula queda sujeto, por separado, a la siguiente condición de prorrateo, a saber:</w:t>
      </w:r>
    </w:p>
    <w:p>
      <w:pPr>
        <w:pStyle w:val="TextBodyIndent"/>
        <w:rPr>
          <w:rFonts w:ascii="Trebuchet MS;Trebuchet MS" w:hAnsi="Trebuchet MS;Trebuchet MS" w:cs="Trebuchet MS;Trebuchet MS"/>
          <w:sz w:val="18"/>
          <w:szCs w:val="18"/>
        </w:rPr>
      </w:pPr>
      <w:r>
        <w:rPr>
          <w:rFonts w:cs="Trebuchet MS;Trebuchet MS" w:ascii="Trebuchet MS;Trebuchet MS" w:hAnsi="Trebuchet MS;Trebuchet MS"/>
          <w:sz w:val="18"/>
          <w:szCs w:val="18"/>
        </w:rPr>
        <w:t>Si en el momento del reemplazo de una propiedad, el costo de reposición exceda a la suma asegurada, el Asegurado será considerado como su propio Asegurador, por la diferencia sin seguro y por lo tanto, soportará su parte proporcional del monto de las reconstrucciones y/o reparaciones.</w:t>
      </w:r>
    </w:p>
    <w:p>
      <w:pPr>
        <w:pStyle w:val="Normal"/>
        <w:numPr>
          <w:ilvl w:val="0"/>
          <w:numId w:val="2"/>
        </w:numPr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Si al momento de cualquier daño  o destrucción  de los bienes asegurados existiera otro seguro sobre los mismos bienes contratados por el Asegurado o por otras personas  a su nombre, que no sea sobre la misma base se reemplazo, la Compañía sólo estará obligada a indemnizar aquella suma que le hubiera correspondido pagar si esta cláusula no hubiera sido incluida.</w:t>
      </w:r>
    </w:p>
    <w:p>
      <w:pPr>
        <w:pStyle w:val="Normal"/>
        <w:numPr>
          <w:ilvl w:val="0"/>
          <w:numId w:val="2"/>
        </w:numPr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Cuando por razón de cualquiera de éstas Condiciones Especiales no se efectuara ningún pago mayor que la suma pagadera, de no haberse incluido esta cláusula, los derechos y responsabilidades de la Compañía y el Asegurado, con respecto a la destrucción o daños, quedarán sujetos a los términos y condiciones de la póliza, incluyendo cualquier condición de prorrateo o contenidos en la misma como si no se hubiera incluido esta cláusula.</w:t>
      </w:r>
    </w:p>
    <w:p>
      <w:pPr>
        <w:pStyle w:val="Normal"/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tabs>
          <w:tab w:val="clear" w:pos="708"/>
          <w:tab w:val="left" w:pos="426" w:leader="none"/>
        </w:tabs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  <w:t>Todos los demás términos y condiciones de la póliza, de la cual la presente forma parte integrante, quedan inalterados.</w:t>
      </w:r>
    </w:p>
    <w:p>
      <w:pPr>
        <w:pStyle w:val="Normal"/>
        <w:tabs>
          <w:tab w:val="clear" w:pos="708"/>
          <w:tab w:val="left" w:pos="426" w:leader="none"/>
        </w:tabs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tabs>
          <w:tab w:val="clear" w:pos="708"/>
          <w:tab w:val="left" w:pos="426" w:leader="none"/>
        </w:tabs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tabs>
          <w:tab w:val="clear" w:pos="708"/>
          <w:tab w:val="left" w:pos="426" w:leader="none"/>
        </w:tabs>
        <w:jc w:val="both"/>
        <w:rPr>
          <w:rFonts w:ascii="Trebuchet MS;Trebuchet MS" w:hAnsi="Trebuchet MS;Trebuchet MS" w:cs="Trebuchet MS;Trebuchet MS"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sz w:val="18"/>
          <w:szCs w:val="18"/>
          <w:lang w:val="es-MX"/>
        </w:rPr>
      </w:r>
    </w:p>
    <w:p>
      <w:pPr>
        <w:pStyle w:val="Normal"/>
        <w:jc w:val="center"/>
        <w:rPr>
          <w:rFonts w:ascii="Trebuchet MS;Trebuchet MS" w:hAnsi="Trebuchet MS;Trebuchet MS" w:cs="Trebuchet MS;Trebuchet MS"/>
          <w:b/>
          <w:b/>
          <w:sz w:val="18"/>
          <w:szCs w:val="18"/>
        </w:rPr>
      </w:pPr>
      <w:r>
        <w:rPr>
          <w:rFonts w:cs="Trebuchet MS;Trebuchet MS" w:ascii="Trebuchet MS;Trebuchet MS" w:hAnsi="Trebuchet MS;Trebuchet MS"/>
          <w:b/>
          <w:sz w:val="18"/>
          <w:szCs w:val="18"/>
        </w:rPr>
        <w:t>“</w:t>
      </w:r>
      <w:r>
        <w:rPr>
          <w:rFonts w:cs="Trebuchet MS;Trebuchet MS" w:ascii="Trebuchet MS;Trebuchet MS" w:hAnsi="Trebuchet MS;Trebuchet MS"/>
          <w:b/>
          <w:sz w:val="18"/>
          <w:szCs w:val="18"/>
        </w:rPr>
        <w:t>NACIONAL SEGUROS PATRIMONIALES Y FIANZAS S.A.”</w:t>
      </w:r>
    </w:p>
    <w:p>
      <w:pPr>
        <w:pStyle w:val="Normal"/>
        <w:rPr>
          <w:rFonts w:ascii="Trebuchet MS;Trebuchet MS" w:hAnsi="Trebuchet MS;Trebuchet MS" w:cs="Trebuchet MS;Trebuchet MS"/>
          <w:b/>
          <w:b/>
          <w:sz w:val="18"/>
          <w:szCs w:val="18"/>
          <w:lang w:val="es-MX"/>
        </w:rPr>
      </w:pPr>
      <w:r>
        <w:rPr>
          <w:rFonts w:cs="Trebuchet MS;Trebuchet MS" w:ascii="Trebuchet MS;Trebuchet MS" w:hAnsi="Trebuchet MS;Trebuchet MS"/>
          <w:b/>
          <w:sz w:val="18"/>
          <w:szCs w:val="18"/>
          <w:lang w:val="es-MX"/>
        </w:rPr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z w:val="20"/>
      <w:szCs w:val="20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b/>
      <w:sz w:val="18"/>
      <w:lang w:val="es-MX"/>
    </w:rPr>
  </w:style>
  <w:style w:type="character" w:styleId="WW8Num1z0">
    <w:name w:val="WW8Num1z0"/>
    <w:qFormat/>
    <w:rPr/>
  </w:style>
  <w:style w:type="character" w:styleId="WW8Num2z0">
    <w:name w:val="WW8Num2z0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jc w:val="both"/>
    </w:pPr>
    <w:rPr>
      <w:lang w:val="es-MX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BodyIndent">
    <w:name w:val="Body Text Indent"/>
    <w:basedOn w:val="Normal"/>
    <w:pPr>
      <w:ind w:left="420" w:hanging="0"/>
      <w:jc w:val="both"/>
    </w:pPr>
    <w:rPr>
      <w:sz w:val="24"/>
      <w:lang w:val="es-MX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2009-09-16T09:33:00Z</dcterms:created>
  <dc:creator>acloma</dc:creator>
  <dc:description/>
  <cp:keywords/>
  <dc:language>en-US</dc:language>
  <cp:lastModifiedBy>Jaime Alejandro Beltran</cp:lastModifiedBy>
  <dcterms:modified xsi:type="dcterms:W3CDTF">2015-06-03T11:39:00Z</dcterms:modified>
  <cp:revision>3</cp:revision>
  <dc:subject/>
  <dc:title>“Latina” Seguros Patrimoniales S</dc:title>
</cp:coreProperties>
</file>