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rPr/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MX"/>
        </w:rPr>
        <w:t xml:space="preserve">                            </w:t>
      </w: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Heading"/>
        <w:ind w:left="1416" w:hanging="0"/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u w:val="none"/>
        </w:rPr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u w:val="none"/>
        </w:rPr>
        <w:t xml:space="preserve">          </w:t>
      </w:r>
      <w:r>
        <w:rPr>
          <w:rFonts w:cs="Trebuchet MS;Trebuchet MS" w:ascii="Trebuchet MS;Trebuchet MS" w:hAnsi="Trebuchet MS;Trebuchet MS"/>
          <w:b/>
          <w:sz w:val="18"/>
          <w:szCs w:val="18"/>
          <w:u w:val="none"/>
        </w:rPr>
        <w:t>CLAUSULA DE REPARACION O RECONSTRUCCIONES</w:t>
      </w:r>
    </w:p>
    <w:p>
      <w:pPr>
        <w:pStyle w:val="Normal"/>
        <w:ind w:left="1416" w:firstLine="708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06 001-2325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jc w:val="both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Queda convenido que en caso de siniestro, los Asegurados si así lo quisieran y previo aviso a la Compañía, pueden empezar inmediatamente los trabajos de reparación y reconstrucción de la propiedad asegurada, pero dicho trabajo estará sujeto a inspección y la supervisión de la Compañía, si lo viere conveniente.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En caso de desacuerdo sobre el costo de la reparación o reconstrucción de los daños ocasionados, la indemnización se liquidará de acuerdo con los términos y condiciones de la Póliza.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Todos los demás términos y condiciones de la Póliza principal permanecen invariables.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BO"/>
        </w:rPr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lang w:val="es-MX"/>
        </w:rPr>
      </w:pPr>
      <w:r>
        <w:rPr>
          <w:rFonts w:cs="Trebuchet MS;Trebuchet MS" w:ascii="Trebuchet MS;Trebuchet MS" w:hAnsi="Trebuchet MS;Trebuchet MS"/>
          <w:b/>
          <w:bCs/>
          <w:lang w:val="es-MX"/>
        </w:rPr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lang w:val="es-MX"/>
        </w:rPr>
      </w:pPr>
      <w:r>
        <w:rPr>
          <w:rFonts w:cs="Trebuchet MS;Trebuchet MS" w:ascii="Trebuchet MS;Trebuchet MS" w:hAnsi="Trebuchet MS;Trebuchet MS"/>
          <w:b/>
          <w:bCs/>
          <w:lang w:val="es-MX"/>
        </w:rPr>
      </w:r>
    </w:p>
    <w:sectPr>
      <w:type w:val="nextPage"/>
      <w:pgSz w:w="12240" w:h="15840"/>
      <w:pgMar w:left="1701" w:right="1701" w:gutter="0" w:header="0" w:top="2268" w:footer="0" w:bottom="1418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 Narrow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jc w:val="both"/>
      <w:outlineLvl w:val="0"/>
    </w:pPr>
    <w:rPr>
      <w:rFonts w:ascii="Arial Narrow" w:hAnsi="Arial Narrow" w:cs="Arial Narrow"/>
      <w:b/>
      <w:bCs/>
      <w:sz w:val="18"/>
      <w:szCs w:val="18"/>
      <w:lang w:val="es-MX"/>
    </w:rPr>
  </w:style>
  <w:style w:type="character" w:styleId="Fuentedeprrafopredeter">
    <w:name w:val="Fuente de párrafo predeter."/>
    <w:qFormat/>
    <w:rPr/>
  </w:style>
  <w:style w:type="character" w:styleId="PuestoCar">
    <w:name w:val="Puesto Car"/>
    <w:qFormat/>
    <w:rPr>
      <w:u w:val="single"/>
      <w:lang w:val="es-MX"/>
    </w:rPr>
  </w:style>
  <w:style w:type="paragraph" w:styleId="Heading">
    <w:name w:val="Heading"/>
    <w:basedOn w:val="Normal"/>
    <w:next w:val="TextBody"/>
    <w:qFormat/>
    <w:pPr>
      <w:jc w:val="center"/>
    </w:pPr>
    <w:rPr>
      <w:sz w:val="20"/>
      <w:szCs w:val="20"/>
      <w:u w:val="single"/>
      <w:lang w:val="es-MX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2000-05-16T16:30:00Z</dcterms:created>
  <dc:creator>Lucia Pinto</dc:creator>
  <dc:description/>
  <cp:keywords/>
  <dc:language>en-US</dc:language>
  <cp:lastModifiedBy>Carmen R. Llusco Gomez</cp:lastModifiedBy>
  <cp:lastPrinted>2000-05-16T16:38:00Z</cp:lastPrinted>
  <dcterms:modified xsi:type="dcterms:W3CDTF">2015-06-24T17:57:00Z</dcterms:modified>
  <cp:revision>7</cp:revision>
  <dc:subject/>
  <dc:title>CLÁUSULA DE REPARACIONES O RECONSTRUCCIONES</dc:title>
</cp:coreProperties>
</file>