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"/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u w:val="none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u w:val="none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MX"/>
        </w:rPr>
        <w:t xml:space="preserve">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1416" w:firstLine="708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Heading1"/>
        <w:spacing w:lineRule="auto" w:line="240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CLAUSULA DE REPOSICION, REPARACION O REEMPLAZO</w:t>
      </w:r>
    </w:p>
    <w:p>
      <w:pPr>
        <w:pStyle w:val="Normal"/>
        <w:ind w:left="1416" w:firstLine="708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06 001-2606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577-2007 de fecha 18 de julio de 2007</w:t>
      </w:r>
    </w:p>
    <w:p>
      <w:pPr>
        <w:pStyle w:val="Normal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Arial;Arial" w:hAnsi="Arial;Arial" w:cs="Arial;Arial"/>
          <w:b/>
          <w:b/>
          <w:spacing w:val="-2"/>
          <w:sz w:val="18"/>
          <w:szCs w:val="18"/>
          <w:lang w:val="es-MX"/>
        </w:rPr>
      </w:pPr>
      <w:r>
        <w:rPr>
          <w:rFonts w:cs="Arial;Arial" w:ascii="Arial;Arial" w:hAnsi="Arial;Arial"/>
          <w:b/>
          <w:spacing w:val="-2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Queda entendido y convenido que, en caso de siniestro que afecte los bienes cubiertos bajo los ítems de la Póliza a la cual se incorpora esta Cláusula, el ajuste de pérdida se hará sin tener en cuenta su demérito por el uso y se tomará como base el valor de reposición, reparación o reemplazo, por otros de la misma naturaleza y tipo, pero no superiores ni de mayor capacidad.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Para la aplicación de esta Cláusula se tendrán en cuenta las siguientes condiciones: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ind w:left="709" w:hanging="709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1.</w:t>
        <w:tab/>
        <w:t>Si con ocasión de la reparación, reposición o reemplazo de los bienes siniestrados o de parte de ellos, el Asegurado hiciere cualquier cambio o reforma en su instalación, serán de su cuenta los mayores costos que dicho cambio ocasione;</w:t>
      </w:r>
    </w:p>
    <w:p>
      <w:pPr>
        <w:pStyle w:val="TextBodyIndent"/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2.</w:t>
        <w:tab/>
        <w:t>La obligación de la Compañía en virtud de esta Cláusula se entenderá con relación a los precios que rijan para los artículos reemplazados, indemnizados en dinero o reparados en el momento del siniestro. En tal virtud, cualquier mayor valor que ocasione la demora en la reparación, reemplazo o reposición, será por cuenta del Asegurado;</w:t>
      </w:r>
    </w:p>
    <w:p>
      <w:pPr>
        <w:pStyle w:val="TextBodyIndent"/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3.</w:t>
        <w:tab/>
        <w:t>Esta Cláusula solo podrá aplicarse después que el Asegurado haya reparado repuesto o reemplazado los bienes dañados;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4.</w:t>
        <w:tab/>
        <w:t>Esta Cláusula no tendrá aplicación;</w:t>
      </w:r>
    </w:p>
    <w:p>
      <w:pPr>
        <w:pStyle w:val="Sangra2detindependiente"/>
        <w:numPr>
          <w:ilvl w:val="0"/>
          <w:numId w:val="2"/>
        </w:numPr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Si no se efectúa la reparación, reposición o reemplazo de los bienes, sea por voluntad del Asegurado o por impedimento, dentro de un plazo máximo de 12 meses, contados a partir de la fecha del siniestro;</w:t>
      </w:r>
    </w:p>
    <w:p>
      <w:pPr>
        <w:pStyle w:val="Sangra2detindependiente"/>
        <w:numPr>
          <w:ilvl w:val="0"/>
          <w:numId w:val="2"/>
        </w:numPr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Si los bienes asegurados no fueren conservados en perfecto estado de servicio;</w:t>
      </w:r>
    </w:p>
    <w:p>
      <w:pPr>
        <w:pStyle w:val="Sangra2detindependiente"/>
        <w:numPr>
          <w:ilvl w:val="0"/>
          <w:numId w:val="2"/>
        </w:numPr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Si el Asegurado no declara a la Compañía, dentro del plazo de seis (6) meses posteriores a la fecha del siniestro su intención de reparar o reemplazar los bienes asegurados; y</w:t>
      </w:r>
    </w:p>
    <w:p>
      <w:pPr>
        <w:pStyle w:val="Sangra2detindependiente"/>
        <w:numPr>
          <w:ilvl w:val="0"/>
          <w:numId w:val="2"/>
        </w:numPr>
        <w:rPr>
          <w:rFonts w:ascii="Trebuchet MS;Trebuchet MS" w:hAnsi="Trebuchet MS;Trebuchet MS" w:cs="Trebuchet MS;Trebuchet MS"/>
          <w:szCs w:val="18"/>
        </w:rPr>
      </w:pPr>
      <w:r>
        <w:rPr>
          <w:rFonts w:cs="Trebuchet MS;Trebuchet MS" w:ascii="Trebuchet MS;Trebuchet MS" w:hAnsi="Trebuchet MS;Trebuchet MS"/>
          <w:szCs w:val="18"/>
        </w:rPr>
        <w:t>Si al momento del siniestro, existen otros seguros sobre los mismos bienes contratados por el Asegurado o por otras personas a su nombre, que no sean sobre la misma base de reposición, reparación o reemplazo.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Estas condiciones serán aplicadas individualmente a cada unos de los bienes asegurados.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ind w:left="709" w:hanging="709"/>
        <w:jc w:val="both"/>
        <w:rPr/>
      </w:pPr>
      <w:r>
        <w:rPr>
          <w:rFonts w:cs="Trebuchet MS;Trebuchet MS" w:ascii="Trebuchet MS;Trebuchet MS" w:hAnsi="Trebuchet MS;Trebuchet MS"/>
          <w:i/>
          <w:sz w:val="18"/>
          <w:szCs w:val="18"/>
          <w:lang w:val="es-MX"/>
        </w:rPr>
        <w:t>5.</w:t>
        <w:tab/>
      </w: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Para la aplicación de la Regla Proporcional en lo relativo a los bienes a que se refiere esta Cláusula, se tendrá en cuenta el valor total de ellos, calculado por su costo de reparación, reposición o reemplazo de acuerdo con lo establecido en la presente cláusula; y, si en el momento del siniestro, el valor total es superior a la cantidad asegurada, el Asegurado será considerado como propio Asegurador por el exceso y soportará su parte proporcional de perjuicios y daños;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xBrp2"/>
        <w:widowControl/>
        <w:tabs>
          <w:tab w:val="clear" w:pos="204"/>
        </w:tabs>
        <w:spacing w:lineRule="auto" w:line="240"/>
        <w:ind w:left="709" w:hanging="709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6.</w:t>
        <w:tab/>
        <w:t>Esta Cláusula se aplicará únicamente a edificios, maquinas y otros activos fijos; pero en ningún caso se aplicará a mercaderías o existencias de materias primas o de productos elaborados, por elaborarse y/o en proceso de elaboración;</w:t>
      </w:r>
    </w:p>
    <w:p>
      <w:pPr>
        <w:pStyle w:val="TxBrp2"/>
        <w:widowControl/>
        <w:tabs>
          <w:tab w:val="clear" w:pos="204"/>
        </w:tabs>
        <w:spacing w:lineRule="auto" w:line="240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7.</w:t>
        <w:tab/>
        <w:t>Es obligación del Asegurado revisar y declarar  el valor asegurado, como valor de reposición.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xBrp2"/>
        <w:widowControl/>
        <w:tabs>
          <w:tab w:val="clear" w:pos="204"/>
        </w:tabs>
        <w:spacing w:lineRule="auto" w:line="240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Todos los demás términos y condiciones de la Póliza, con excepción de lo establecido en esta Cláusula, continúan en pleno vigor y sin modificación alguna.</w:t>
      </w:r>
    </w:p>
    <w:p>
      <w:pPr>
        <w:pStyle w:val="TxBrp2"/>
        <w:widowControl/>
        <w:tabs>
          <w:tab w:val="clear" w:pos="204"/>
        </w:tabs>
        <w:spacing w:lineRule="auto" w:line="240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NACIONAL SEGUROS PATRIMONIALES Y FIANZAS S.A.”</w:t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429"/>
        </w:tabs>
        <w:ind w:left="1429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ourier New" w:hAnsi="Courier New" w:eastAsia="Times New Roman;Times New Roman" w:cs="Courier New"/>
      <w:color w:val="auto"/>
      <w:sz w:val="24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lineRule="auto" w:line="480"/>
      <w:jc w:val="center"/>
      <w:outlineLvl w:val="0"/>
    </w:pPr>
    <w:rPr>
      <w:rFonts w:ascii="Times New Roman;Times New Roman" w:hAnsi="Times New Roman;Times New Roman" w:cs="Times New Roman;Times New Roman"/>
      <w:b/>
      <w:sz w:val="28"/>
      <w:lang w:val="es-MX"/>
    </w:rPr>
  </w:style>
  <w:style w:type="paragraph" w:styleId="Heading2">
    <w:name w:val="Heading 2"/>
    <w:basedOn w:val="Normal"/>
    <w:next w:val="Normal"/>
    <w:qFormat/>
    <w:pPr>
      <w:keepNext w:val="true"/>
      <w:widowControl/>
      <w:numPr>
        <w:ilvl w:val="1"/>
        <w:numId w:val="1"/>
      </w:numPr>
      <w:jc w:val="center"/>
      <w:outlineLvl w:val="1"/>
    </w:pPr>
    <w:rPr>
      <w:rFonts w:ascii="Times New Roman;Times New Roman" w:hAnsi="Times New Roman;Times New Roman" w:cs="Times New Roman;Times New Roman"/>
      <w:b/>
      <w:sz w:val="20"/>
      <w:lang w:val="es-EC"/>
    </w:rPr>
  </w:style>
  <w:style w:type="character" w:styleId="WW8Num1z0">
    <w:name w:val="WW8Num1z0"/>
    <w:qFormat/>
    <w:rPr/>
  </w:style>
  <w:style w:type="character" w:styleId="Fuentedeprrafopredeter">
    <w:name w:val="Fuente de párrafo predeter."/>
    <w:qFormat/>
    <w:rPr/>
  </w:style>
  <w:style w:type="character" w:styleId="PuestoCar">
    <w:name w:val="Puesto Car"/>
    <w:qFormat/>
    <w:rPr>
      <w:u w:val="single"/>
      <w:lang w:val="es-MX"/>
    </w:rPr>
  </w:style>
  <w:style w:type="paragraph" w:styleId="Heading">
    <w:name w:val="Heading"/>
    <w:basedOn w:val="Normal"/>
    <w:next w:val="TextBody"/>
    <w:qFormat/>
    <w:pPr>
      <w:widowControl/>
      <w:jc w:val="center"/>
    </w:pPr>
    <w:rPr>
      <w:rFonts w:ascii="Times New Roman;Times New Roman" w:hAnsi="Times New Roman;Times New Roman" w:cs="Times New Roman;Times New Roman"/>
      <w:sz w:val="20"/>
      <w:u w:val="single"/>
      <w:lang w:val="es-MX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xBrp2">
    <w:name w:val="TxBr_p2"/>
    <w:basedOn w:val="Normal"/>
    <w:qFormat/>
    <w:pPr>
      <w:tabs>
        <w:tab w:val="clear" w:pos="708"/>
        <w:tab w:val="left" w:pos="204" w:leader="none"/>
      </w:tabs>
      <w:spacing w:lineRule="atLeast" w:line="283"/>
      <w:jc w:val="both"/>
    </w:pPr>
    <w:rPr>
      <w:rFonts w:ascii="Times New Roman;Times New Roman" w:hAnsi="Times New Roman;Times New Roman" w:cs="Times New Roman;Times New Roman"/>
      <w:lang w:val="es-ES"/>
    </w:rPr>
  </w:style>
  <w:style w:type="paragraph" w:styleId="TextBodyIndent">
    <w:name w:val="Body Text Indent"/>
    <w:basedOn w:val="Normal"/>
    <w:pPr>
      <w:widowControl/>
      <w:ind w:left="709" w:hanging="709"/>
      <w:jc w:val="both"/>
    </w:pPr>
    <w:rPr>
      <w:rFonts w:ascii="Arial;Arial" w:hAnsi="Arial;Arial" w:cs="Arial;Arial"/>
      <w:sz w:val="18"/>
      <w:lang w:val="es-MX"/>
    </w:rPr>
  </w:style>
  <w:style w:type="paragraph" w:styleId="Sangra2detindependiente">
    <w:name w:val="Sangría 2 de t. independiente"/>
    <w:basedOn w:val="Normal"/>
    <w:qFormat/>
    <w:pPr>
      <w:widowControl/>
      <w:ind w:left="1418" w:hanging="709"/>
      <w:jc w:val="both"/>
    </w:pPr>
    <w:rPr>
      <w:rFonts w:ascii="Arial;Arial" w:hAnsi="Arial;Arial" w:cs="Arial;Arial"/>
      <w:sz w:val="18"/>
      <w:lang w:val="es-MX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2007-03-25T19:20:00Z</dcterms:created>
  <dc:creator>deneira</dc:creator>
  <dc:description/>
  <cp:keywords/>
  <dc:language>en-US</dc:language>
  <cp:lastModifiedBy>Jaime Alejandro Beltran</cp:lastModifiedBy>
  <dcterms:modified xsi:type="dcterms:W3CDTF">2015-06-03T12:02:00Z</dcterms:modified>
  <cp:revision>5</cp:revision>
  <dc:subject/>
  <dc:title>“Latina”</dc:title>
</cp:coreProperties>
</file>