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PÓLIZA DE SEGURO DE TODO RIESGO DE DAÑOS A LA PROPIEDAD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 xml:space="preserve">CÓDIGO ASIGNADO 115-910101-2007 06 001    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 xml:space="preserve">RESOLUCION ADMINISTRATIVA SPVS/IS/No.415/2007 DE 13 DE JUNIO DE 2007    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CLAUSULA PARA DINERO Y/O VALORES EN VENTANILLA O CAJA REGISTRADORA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CÓDIGO ASIGNADO 115-910101-2007 06 001 2820</w:t>
      </w:r>
    </w:p>
    <w:p>
      <w:pPr>
        <w:pStyle w:val="Normal"/>
        <w:jc w:val="center"/>
        <w:rPr>
          <w:rFonts w:ascii="Calibri" w:hAnsi="Calibri" w:cs="Calibri"/>
          <w:b/>
          <w:b/>
          <w:szCs w:val="20"/>
        </w:rPr>
      </w:pPr>
      <w:r>
        <w:rPr>
          <w:rFonts w:cs="Calibri" w:ascii="Calibri" w:hAnsi="Calibri"/>
          <w:b/>
          <w:szCs w:val="20"/>
        </w:rPr>
        <w:t>RESOLUCION ADMINISTRATIVA APS/DS/No. 1107/2017 DE FECHA 12 DE SEPTIEMBRE DE 2017</w:t>
      </w:r>
    </w:p>
    <w:p>
      <w:pPr>
        <w:pStyle w:val="TextBody"/>
        <w:jc w:val="center"/>
        <w:rPr>
          <w:rFonts w:ascii="Calibri" w:hAnsi="Calibri" w:cs="Calibri"/>
          <w:b w:val="false"/>
          <w:b w:val="false"/>
          <w:sz w:val="20"/>
          <w:szCs w:val="20"/>
        </w:rPr>
      </w:pPr>
      <w:r>
        <w:rPr>
          <w:rFonts w:cs="Calibri" w:ascii="Calibri" w:hAnsi="Calibri"/>
          <w:b w:val="false"/>
          <w:sz w:val="20"/>
          <w:szCs w:val="20"/>
        </w:rPr>
      </w:r>
    </w:p>
    <w:p>
      <w:pPr>
        <w:pStyle w:val="Normal"/>
        <w:ind w:right="18" w:hanging="0"/>
        <w:jc w:val="both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>No obstante lo que se establezca en contrario en las Condiciones Generales de la Póliza de la cual ésta Cláusula forma parte integrante, queda entendido y convenido que:</w:t>
      </w:r>
    </w:p>
    <w:p>
      <w:pPr>
        <w:pStyle w:val="Normal"/>
        <w:jc w:val="both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Arial" w:ascii="Calibri" w:hAnsi="Calibri"/>
          <w:szCs w:val="20"/>
        </w:rPr>
        <w:t xml:space="preserve">Este seguro se extiende a cubrir hasta el límite establecido en las condiciones particulares de la póliza, la perdida de dinero en efectivo y/o Valores que se </w:t>
      </w:r>
      <w:r>
        <w:rPr>
          <w:rFonts w:cs="Calibri" w:ascii="Calibri" w:hAnsi="Calibri"/>
          <w:spacing w:val="-2"/>
          <w:szCs w:val="20"/>
        </w:rPr>
        <w:t xml:space="preserve">encuentre dentro de ventanilla o caja registradora, durante el horario de oficina y/o de atención al cliente o mientras se encuentre siendo manipulado por el personal del asegurado durante el cierre diario. 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De acuerdo a lo anterior, la Compañía indemnizara al Asegurado siempre que el daño haya sido por uno de los eventos siguientes: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Prrafodelista"/>
        <w:numPr>
          <w:ilvl w:val="0"/>
          <w:numId w:val="2"/>
        </w:numPr>
        <w:suppressAutoHyphens w:val="false"/>
        <w:spacing w:before="0" w:after="0"/>
        <w:ind w:left="1276" w:hanging="556"/>
        <w:contextualSpacing w:val="false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ROBO CON FRACTURA:   Cuando el culpable penetre con fuerza y violencia en los locales asegurados o cuando los abra con llave falsa o con otro medio ilícito.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>
          <w:rFonts w:ascii="Calibri" w:hAnsi="Calibri" w:cs="Trebuchet MS"/>
          <w:szCs w:val="20"/>
        </w:rPr>
      </w:pPr>
      <w:r>
        <w:rPr>
          <w:rFonts w:cs="Trebuchet MS" w:ascii="Calibri" w:hAnsi="Calibri"/>
          <w:szCs w:val="20"/>
        </w:rPr>
        <w:t>ASALTO: Asalto es el robo cometido usando la violencia o amenazas que hagan peligrar la vida.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/>
      </w:pPr>
      <w:r>
        <w:rPr>
          <w:rFonts w:cs="Trebuchet MS" w:ascii="Calibri" w:hAnsi="Calibri"/>
          <w:szCs w:val="20"/>
        </w:rPr>
        <w:t>ROBO CON INTRODUCCION FURTIVA: Existe introducción furtiva, cuando el culpable se introduzca en los locales asegurados durante las horas de trabajo y se esconda en ellos para cometer el delito fuera de las horas en que se trabaje en el establecimiento objeto del Seguro.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/>
      </w:pPr>
      <w:r>
        <w:rPr>
          <w:rFonts w:cs="Trebuchet MS" w:ascii="Calibri" w:hAnsi="Calibri"/>
          <w:szCs w:val="20"/>
        </w:rPr>
        <w:t>ROBO CON VIOLENCIA FISICA: Implica el uso de la fuerza para dañar a una persona. El agresor puede utilizar su propio cuerpo o utilizar algún otro objeto, arma o sustancia para lograr sus propósitos.</w:t>
      </w:r>
    </w:p>
    <w:p>
      <w:pPr>
        <w:pStyle w:val="Prrafodelista"/>
        <w:numPr>
          <w:ilvl w:val="0"/>
          <w:numId w:val="2"/>
        </w:numPr>
        <w:suppressAutoHyphens w:val="false"/>
        <w:snapToGrid w:val="false"/>
        <w:spacing w:before="0" w:after="0"/>
        <w:contextualSpacing w:val="false"/>
        <w:jc w:val="both"/>
        <w:rPr/>
      </w:pPr>
      <w:r>
        <w:rPr>
          <w:rFonts w:cs="Trebuchet MS" w:ascii="Calibri" w:hAnsi="Calibri"/>
          <w:szCs w:val="20"/>
        </w:rPr>
        <w:t>ROBO CON VIOLENCIA EMOCIONAL: Cuando el culpable, con el fin de cometer su propósito, agrede a las personas con gritos, insultos, amenazas, prohibiciones, intimidación, humillaciones, descalificaciones, chantajes, manipulación y coacción.</w:t>
      </w:r>
    </w:p>
    <w:p>
      <w:pPr>
        <w:pStyle w:val="Normal"/>
        <w:ind w:right="18" w:hanging="0"/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 xml:space="preserve">La presente clausula está sujeta a las siguientes condiciones: </w:t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pacing w:val="-2"/>
          <w:szCs w:val="20"/>
        </w:rPr>
        <w:t>Es condición esencial de este Seguro que la ventanilla y/o caja registradora, contenga dinero únicamente en horario de trabajo, debiendo permanecer vacía y abierta al concluir el cierre y hasta el próximo ejercicio diario.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Bajo este convenio quedan amparados solo dinero en efectivo, quedando excluidas de cobertura las existencias, muebles, enseres y otros activos.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 xml:space="preserve">Se excluye cualquier pérdida derivada o causada por cualquier error y/o equivocación, que ocasionen perdida de dinero y/o faltante de caja.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Se excluye cualquier pérdida o daños causados por los funcionarios, empleados, obreros, inquilinos o subarrendatarios del Asegurado, especialmente los que se deriven de actos de deslealtad o mala fe.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  <w:t>Se excluye Hurto, Ratería y/o desaparición misteriosa.</w:t>
      </w:r>
    </w:p>
    <w:p>
      <w:pPr>
        <w:pStyle w:val="Normal"/>
        <w:rPr>
          <w:rFonts w:ascii="Calibri" w:hAnsi="Calibri" w:cs="Calibri"/>
          <w:spacing w:val="-2"/>
          <w:szCs w:val="20"/>
        </w:rPr>
      </w:pPr>
      <w:r>
        <w:rPr>
          <w:rFonts w:cs="Calibri" w:ascii="Calibri" w:hAnsi="Calibri"/>
          <w:spacing w:val="-2"/>
          <w:szCs w:val="20"/>
        </w:rPr>
      </w:r>
    </w:p>
    <w:p>
      <w:pPr>
        <w:pStyle w:val="Normal"/>
        <w:rPr>
          <w:rFonts w:ascii="Calibri" w:hAnsi="Calibri" w:cs="Arial"/>
          <w:szCs w:val="20"/>
        </w:rPr>
      </w:pPr>
      <w:r>
        <w:rPr>
          <w:rFonts w:cs="Arial" w:ascii="Calibri" w:hAnsi="Calibri"/>
          <w:szCs w:val="20"/>
        </w:rPr>
        <w:t>Todos los demás términos y condiciones de la Póliza que no hayan sido modificados por esta cláusula se mantienen sin alteración.</w:t>
      </w:r>
    </w:p>
    <w:p>
      <w:pPr>
        <w:pStyle w:val="Normallatino"/>
        <w:jc w:val="both"/>
        <w:rPr>
          <w:rFonts w:ascii="Calibri" w:hAnsi="Calibri" w:cs="Calibri"/>
          <w:sz w:val="20"/>
          <w:szCs w:val="20"/>
          <w:lang w:val="es-ES_tradnl"/>
        </w:rPr>
      </w:pPr>
      <w:r>
        <w:rPr>
          <w:rFonts w:cs="Calibri" w:ascii="Calibri" w:hAnsi="Calibri"/>
          <w:sz w:val="20"/>
          <w:szCs w:val="20"/>
          <w:lang w:val="es-ES_tradnl"/>
        </w:rPr>
      </w:r>
    </w:p>
    <w:p>
      <w:pPr>
        <w:pStyle w:val="Normallatino"/>
        <w:jc w:val="center"/>
        <w:rPr/>
      </w:pPr>
      <w:r>
        <w:rPr>
          <w:rFonts w:cs="Calibri" w:ascii="Calibri" w:hAnsi="Calibri"/>
          <w:b/>
          <w:sz w:val="20"/>
          <w:lang w:val="es-ES_tradnl"/>
        </w:rPr>
        <w:t>NACIONAL SEGUROS PATRIMONIALES  Y FIANZAS S.A.</w:t>
      </w:r>
    </w:p>
    <w:p>
      <w:pPr>
        <w:pStyle w:val="Normallatino"/>
        <w:jc w:val="both"/>
        <w:rPr>
          <w:rFonts w:ascii="Calibri" w:hAnsi="Calibri" w:eastAsia="Calibri" w:cs="Calibri"/>
          <w:sz w:val="20"/>
          <w:lang w:val="es-ES_tradnl"/>
        </w:rPr>
      </w:pPr>
      <w:r>
        <w:rPr>
          <w:rFonts w:eastAsia="Calibri" w:cs="Calibri" w:ascii="Calibri" w:hAnsi="Calibri"/>
          <w:sz w:val="20"/>
          <w:lang w:val="es-ES_tradnl"/>
        </w:rPr>
        <w:t xml:space="preserve"> </w:t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p>
      <w:pPr>
        <w:pStyle w:val="Normallatino"/>
        <w:jc w:val="both"/>
        <w:rPr>
          <w:rFonts w:ascii="Calibri" w:hAnsi="Calibri" w:cs="Calibri"/>
          <w:sz w:val="20"/>
          <w:lang w:val="es-ES_tradnl"/>
        </w:rPr>
      </w:pPr>
      <w:r>
        <w:rPr>
          <w:rFonts w:cs="Calibri" w:ascii="Calibri" w:hAnsi="Calibri"/>
          <w:sz w:val="20"/>
          <w:lang w:val="es-ES_tradnl"/>
        </w:rPr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man PS Condensed">
    <w:altName w:val="Times New Roman"/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suff w:val="space"/>
      <w:lvlText w:val="%1)"/>
      <w:lvlJc w:val="left"/>
      <w:pPr>
        <w:tabs>
          <w:tab w:val="num" w:pos="0"/>
        </w:tabs>
        <w:ind w:left="110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Arial Unicode MS" w:cs="Times New Roman"/>
      <w:color w:val="000000"/>
      <w:sz w:val="20"/>
      <w:szCs w:val="24"/>
      <w:lang w:val="es-ES_trad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jc w:val="both"/>
      <w:outlineLvl w:val="0"/>
    </w:pPr>
    <w:rPr>
      <w:rFonts w:ascii="Roman PS Condensed;Times New Roman" w:hAnsi="Roman PS Condensed;Times New Roman" w:cs="Roman PS Condensed;Times New Roman"/>
      <w:b/>
      <w:spacing w:val="-2"/>
      <w:sz w:val="23"/>
    </w:rPr>
  </w:style>
  <w:style w:type="character" w:styleId="WW8Num2z0">
    <w:name w:val="WW8Num2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Roman PS Condensed;Times New Roman" w:hAnsi="Roman PS Condensed;Times New Roman" w:eastAsia="Arial Unicode MS" w:cs="Times New Roman"/>
      <w:b/>
      <w:color w:val="000000"/>
      <w:spacing w:val="-2"/>
      <w:sz w:val="23"/>
      <w:szCs w:val="24"/>
      <w:lang w:val="es-ES_tradnl"/>
    </w:rPr>
  </w:style>
  <w:style w:type="character" w:styleId="TextoindependienteCar">
    <w:name w:val="Texto independiente Car"/>
    <w:qFormat/>
    <w:rPr>
      <w:rFonts w:ascii="Roman PS Condensed;Times New Roman" w:hAnsi="Roman PS Condensed;Times New Roman" w:eastAsia="Arial Unicode MS" w:cs="Times New Roman"/>
      <w:b/>
      <w:color w:val="000000"/>
      <w:spacing w:val="-2"/>
      <w:sz w:val="23"/>
      <w:szCs w:val="24"/>
      <w:lang w:val="es-ES_tradnl"/>
    </w:rPr>
  </w:style>
  <w:style w:type="character" w:styleId="SangradetextonormalCar">
    <w:name w:val="Sangría de texto normal Car"/>
    <w:qFormat/>
    <w:rPr>
      <w:rFonts w:ascii="Times New Roman" w:hAnsi="Times New Roman" w:eastAsia="Arial Unicode MS" w:cs="Times New Roman"/>
      <w:b/>
      <w:color w:val="000000"/>
      <w:spacing w:val="-3"/>
      <w:sz w:val="28"/>
      <w:szCs w:val="24"/>
      <w:lang w:val="es-ES_tradnl"/>
    </w:rPr>
  </w:style>
  <w:style w:type="character" w:styleId="TtuloCar">
    <w:name w:val="Título Car"/>
    <w:qFormat/>
    <w:rPr>
      <w:rFonts w:ascii="Times New Roman" w:hAnsi="Times New Roman" w:eastAsia="Times New Roman" w:cs="Times New Roman"/>
      <w:sz w:val="28"/>
      <w:szCs w:val="20"/>
      <w:lang w:val="es-ES_tradnl"/>
    </w:rPr>
  </w:style>
  <w:style w:type="character" w:styleId="TextodegloboCar">
    <w:name w:val="Texto de globo Car"/>
    <w:qFormat/>
    <w:rPr>
      <w:rFonts w:ascii="Segoe UI" w:hAnsi="Segoe UI" w:eastAsia="Arial Unicode MS" w:cs="Segoe UI"/>
      <w:color w:val="000000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suppressAutoHyphens w:val="false"/>
      <w:jc w:val="center"/>
    </w:pPr>
    <w:rPr>
      <w:rFonts w:eastAsia="Times New Roman"/>
      <w:color w:val="000000"/>
      <w:sz w:val="28"/>
      <w:szCs w:val="20"/>
    </w:rPr>
  </w:style>
  <w:style w:type="paragraph" w:styleId="TextBody">
    <w:name w:val="Body Text"/>
    <w:basedOn w:val="Normal"/>
    <w:pPr>
      <w:widowControl w:val="false"/>
      <w:jc w:val="both"/>
    </w:pPr>
    <w:rPr>
      <w:rFonts w:ascii="Roman PS Condensed;Times New Roman" w:hAnsi="Roman PS Condensed;Times New Roman" w:cs="Roman PS Condensed;Times New Roman"/>
      <w:b/>
      <w:spacing w:val="-2"/>
      <w:sz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clear" w:pos="708"/>
        <w:tab w:val="center" w:pos="4680" w:leader="none"/>
      </w:tabs>
      <w:jc w:val="center"/>
    </w:pPr>
    <w:rPr>
      <w:b/>
      <w:spacing w:val="-3"/>
      <w:sz w:val="28"/>
    </w:rPr>
  </w:style>
  <w:style w:type="paragraph" w:styleId="Normallatino">
    <w:name w:val="Normal + latino"/>
    <w:basedOn w:val="Normal"/>
    <w:qFormat/>
    <w:pPr>
      <w:suppressAutoHyphens w:val="false"/>
    </w:pPr>
    <w:rPr>
      <w:rFonts w:eastAsia="Times New Roman"/>
      <w:color w:val="000000"/>
      <w:sz w:val="24"/>
      <w:szCs w:val="20"/>
      <w:lang w:val="es-ES"/>
    </w:rPr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2017-06-23T10:14:00Z</dcterms:created>
  <dc:creator>Héctor Horacio Kropp</dc:creator>
  <dc:description/>
  <cp:keywords/>
  <dc:language>en-US</dc:language>
  <cp:lastModifiedBy>Mijail Alejandro Guzman Vedia</cp:lastModifiedBy>
  <cp:lastPrinted>2017-06-23T10:13:00Z</cp:lastPrinted>
  <dcterms:modified xsi:type="dcterms:W3CDTF">2017-09-18T17:59:00Z</dcterms:modified>
  <cp:revision>9</cp:revision>
  <dc:subject>Cubre el robo de dinero en los lugares mencionados en el título</dc:subject>
  <dc:title>POLIZA DE SEGURO CONTRA ROBO CLAUSULA DE DINERO EN CAJA REGISTRADORA Y OTROS</dc:title>
</cp:coreProperties>
</file>