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rebuchet MS" w:hAnsi="Trebuchet MS" w:cs="Trebuchet MS"/>
          <w:b/>
          <w:b/>
          <w:sz w:val="18"/>
          <w:szCs w:val="18"/>
          <w:lang w:val="es-BO"/>
        </w:rPr>
      </w:pPr>
      <w:r>
        <w:rPr>
          <w:rFonts w:cs="Trebuchet MS" w:ascii="Trebuchet MS" w:hAnsi="Trebuchet MS"/>
          <w:b/>
          <w:sz w:val="18"/>
          <w:szCs w:val="18"/>
          <w:lang w:val="es-BO"/>
        </w:rPr>
      </w:r>
    </w:p>
    <w:p>
      <w:pPr>
        <w:pStyle w:val="Normal"/>
        <w:jc w:val="center"/>
        <w:rPr>
          <w:rFonts w:ascii="Trebuchet MS" w:hAnsi="Trebuchet MS" w:cs="Trebuchet MS"/>
          <w:b/>
          <w:b/>
          <w:sz w:val="18"/>
          <w:szCs w:val="18"/>
          <w:lang w:val="es-BO"/>
        </w:rPr>
      </w:pPr>
      <w:r>
        <w:rPr>
          <w:rFonts w:cs="Trebuchet MS" w:ascii="Trebuchet MS" w:hAnsi="Trebuchet MS"/>
          <w:b/>
          <w:sz w:val="18"/>
          <w:szCs w:val="18"/>
          <w:lang w:val="es-BO"/>
        </w:rPr>
        <w:t>POLIZA DE SEGURO DE TODO RIESGO DAÑOS A LA PROPIEDAD</w:t>
      </w:r>
    </w:p>
    <w:p>
      <w:pPr>
        <w:pStyle w:val="Normal"/>
        <w:jc w:val="center"/>
        <w:rPr>
          <w:rFonts w:ascii="Trebuchet MS" w:hAnsi="Trebuchet MS" w:cs="Trebuchet MS"/>
          <w:b/>
          <w:b/>
          <w:sz w:val="18"/>
          <w:szCs w:val="18"/>
          <w:lang w:val="es-ES_tradnl"/>
        </w:rPr>
      </w:pPr>
      <w:r>
        <w:rPr>
          <w:rFonts w:cs="Calibri" w:ascii="Trebuchet MS" w:hAnsi="Trebuchet MS"/>
          <w:b/>
          <w:sz w:val="18"/>
          <w:szCs w:val="18"/>
          <w:lang w:val="es-BO"/>
        </w:rPr>
        <w:t xml:space="preserve">CÓDIGO ASIGNADO </w:t>
      </w:r>
      <w:r>
        <w:rPr>
          <w:rFonts w:cs="Trebuchet MS" w:ascii="Trebuchet MS" w:hAnsi="Trebuchet MS"/>
          <w:b/>
          <w:sz w:val="18"/>
          <w:szCs w:val="18"/>
          <w:lang w:val="es-ES_tradnl"/>
        </w:rPr>
        <w:t xml:space="preserve">SPVS 115-910101-2007 06 001    </w:t>
      </w:r>
    </w:p>
    <w:p>
      <w:pPr>
        <w:pStyle w:val="CM1"/>
        <w:jc w:val="center"/>
        <w:rPr>
          <w:b/>
          <w:b/>
          <w:sz w:val="18"/>
          <w:szCs w:val="18"/>
          <w:lang w:val="es-ES_tradnl"/>
        </w:rPr>
      </w:pPr>
      <w:r>
        <w:rPr>
          <w:b/>
          <w:sz w:val="18"/>
          <w:szCs w:val="18"/>
          <w:lang w:val="es-ES_tradnl"/>
        </w:rPr>
        <w:t xml:space="preserve">RESOLUCION ADMINISTRATIVA 415/2007 DE 13 DE JUNIO DE 2007    </w:t>
      </w:r>
    </w:p>
    <w:p>
      <w:pPr>
        <w:pStyle w:val="CM1"/>
        <w:jc w:val="center"/>
        <w:rPr>
          <w:rFonts w:eastAsia="Times New Roman" w:cs="Calibri"/>
          <w:b/>
          <w:b/>
          <w:color w:val="000000"/>
          <w:sz w:val="18"/>
          <w:szCs w:val="18"/>
          <w:lang w:val="es-ES_tradnl"/>
        </w:rPr>
      </w:pPr>
      <w:r>
        <w:rPr>
          <w:rFonts w:eastAsia="Times New Roman" w:cs="Calibri"/>
          <w:b/>
          <w:color w:val="000000"/>
          <w:sz w:val="18"/>
          <w:szCs w:val="18"/>
          <w:lang w:val="es-ES_tradnl"/>
        </w:rPr>
      </w:r>
    </w:p>
    <w:p>
      <w:pPr>
        <w:pStyle w:val="CM1"/>
        <w:jc w:val="center"/>
        <w:rPr/>
      </w:pPr>
      <w:r>
        <w:rPr>
          <w:rFonts w:eastAsia="Times New Roman" w:cs="Calibri"/>
          <w:b/>
          <w:color w:val="000000"/>
          <w:sz w:val="18"/>
          <w:szCs w:val="18"/>
        </w:rPr>
        <w:t xml:space="preserve">CLAUSULA DE ROBO Y/O INTRODUCCION FURTIVA Y/O ASALTO Y/O ATRACO CON VIOLENCIA </w:t>
      </w:r>
    </w:p>
    <w:p>
      <w:pPr>
        <w:pStyle w:val="Normal"/>
        <w:jc w:val="center"/>
        <w:rPr>
          <w:rFonts w:ascii="Trebuchet MS" w:hAnsi="Trebuchet MS" w:cs="Arial"/>
          <w:sz w:val="18"/>
          <w:szCs w:val="18"/>
          <w:lang w:val="es-BO"/>
        </w:rPr>
      </w:pPr>
      <w:r>
        <w:rPr>
          <w:rFonts w:cs="Arial" w:ascii="Trebuchet MS" w:hAnsi="Trebuchet MS"/>
          <w:sz w:val="18"/>
          <w:szCs w:val="18"/>
          <w:lang w:val="es-BO"/>
        </w:rPr>
        <w:t>CODIGO ASIGNADO 115-910100-2007 06 001 2810</w:t>
      </w:r>
    </w:p>
    <w:p>
      <w:pPr>
        <w:pStyle w:val="Normal"/>
        <w:jc w:val="center"/>
        <w:rPr>
          <w:rFonts w:ascii="Trebuchet MS" w:hAnsi="Trebuchet MS" w:cs="Calibri"/>
          <w:color w:val="00000A"/>
          <w:sz w:val="18"/>
          <w:szCs w:val="18"/>
          <w:lang w:val="es-BO"/>
        </w:rPr>
      </w:pPr>
      <w:r>
        <w:rPr>
          <w:rFonts w:cs="Arial" w:ascii="Trebuchet MS" w:hAnsi="Trebuchet MS"/>
          <w:sz w:val="18"/>
          <w:szCs w:val="18"/>
          <w:lang w:val="es-BO"/>
        </w:rPr>
        <w:t>RESOLUCIÓN ADMINISTRATIVA APS/DS/No.846-2015 DE FECHA 27 DE AGOSTO DE 2015</w:t>
      </w:r>
    </w:p>
    <w:p>
      <w:pPr>
        <w:pStyle w:val="CM1"/>
        <w:jc w:val="both"/>
        <w:rPr>
          <w:rFonts w:ascii="Calibri" w:hAnsi="Calibri" w:eastAsia="Times New Roman" w:cs="Calibri"/>
          <w:color w:val="00000A"/>
          <w:sz w:val="18"/>
          <w:szCs w:val="18"/>
          <w:lang w:val="es-BO"/>
        </w:rPr>
      </w:pPr>
      <w:r>
        <w:rPr>
          <w:rFonts w:eastAsia="Times New Roman" w:cs="Calibri" w:ascii="Calibri" w:hAnsi="Calibri"/>
          <w:color w:val="00000A"/>
          <w:sz w:val="18"/>
          <w:szCs w:val="18"/>
          <w:lang w:val="es-BO"/>
        </w:rPr>
      </w:r>
    </w:p>
    <w:p>
      <w:pPr>
        <w:pStyle w:val="CM1"/>
        <w:jc w:val="both"/>
        <w:rPr>
          <w:rFonts w:ascii="Calibri" w:hAnsi="Calibri" w:eastAsia="Times New Roman" w:cs="Calibri"/>
          <w:color w:val="00000A"/>
          <w:lang w:val="es-BO"/>
        </w:rPr>
      </w:pPr>
      <w:r>
        <w:rPr>
          <w:rFonts w:eastAsia="Times New Roman" w:cs="Calibri" w:ascii="Calibri" w:hAnsi="Calibri"/>
          <w:color w:val="00000A"/>
          <w:lang w:val="es-BO"/>
        </w:rPr>
      </w:r>
    </w:p>
    <w:p>
      <w:pPr>
        <w:pStyle w:val="Normal"/>
        <w:jc w:val="both"/>
        <w:rPr/>
      </w:pPr>
      <w:r>
        <w:rPr>
          <w:rFonts w:cs="Trebuchet MS" w:ascii="Trebuchet MS" w:hAnsi="Trebuchet MS"/>
          <w:kern w:val="0"/>
          <w:sz w:val="18"/>
          <w:szCs w:val="18"/>
          <w:lang w:val="es-ES" w:eastAsia="es-ES"/>
        </w:rPr>
        <w:t>Mediante la presente Cláusula, queda entendido y convenido que la presente Póliza se extiende a indemnizar al                                                                                                                                                                                                                                                                                                                                                                                                                                          Asegurado por cualquier pérdida deterioro o destrucción de los bienes asegurados, a consecuencia de Robo y/o Introducción Furtiva y/o Asalto y/o Atraco con Violencia de la propiedad asegurada, por cualquier persona o personas que se apoderen ilegalmente de la misma después de entrar en los locales ya sea por medio de la violencia escalamiento, siempre que queden huellas visibles de tal violencia o escalamiento, dejada por herramientas, explosivos, elementos eléctricos o químicos, o que coloquen en estado de indefensión al Asegurado o sus dependientes mediante el uso o amenaza de hacer uso de violencia física o emocional, hasta el límite máximo de la suma asegurada descrita en la Póliza.</w:t>
      </w:r>
    </w:p>
    <w:p>
      <w:pPr>
        <w:pStyle w:val="Normal"/>
        <w:rPr>
          <w:rFonts w:ascii="Trebuchet MS" w:hAnsi="Trebuchet MS" w:cs="Trebuchet MS"/>
          <w:kern w:val="0"/>
          <w:sz w:val="18"/>
          <w:szCs w:val="18"/>
          <w:lang w:val="es-ES" w:eastAsia="es-ES"/>
        </w:rPr>
      </w:pPr>
      <w:r>
        <w:rPr>
          <w:rFonts w:cs="Trebuchet MS" w:ascii="Trebuchet MS" w:hAnsi="Trebuchet MS"/>
          <w:kern w:val="0"/>
          <w:sz w:val="18"/>
          <w:szCs w:val="18"/>
          <w:lang w:val="es-ES" w:eastAsia="es-ES"/>
        </w:rPr>
      </w:r>
    </w:p>
    <w:p>
      <w:pPr>
        <w:pStyle w:val="Normal"/>
        <w:jc w:val="both"/>
        <w:rPr>
          <w:rFonts w:ascii="Trebuchet MS" w:hAnsi="Trebuchet MS" w:cs="Trebuchet MS"/>
          <w:kern w:val="0"/>
          <w:sz w:val="18"/>
          <w:szCs w:val="18"/>
          <w:lang w:val="es-ES" w:eastAsia="es-ES"/>
        </w:rPr>
      </w:pPr>
      <w:r>
        <w:rPr>
          <w:rFonts w:cs="Trebuchet MS" w:ascii="Trebuchet MS" w:hAnsi="Trebuchet MS"/>
          <w:kern w:val="0"/>
          <w:sz w:val="18"/>
          <w:szCs w:val="18"/>
          <w:lang w:val="es-ES" w:eastAsia="es-ES"/>
        </w:rPr>
        <w:t>De acuerdo a lo anterior, la Compañía indemnizara al Asegurado siempre que el daño haya sido por uno de los eventos siguientes:</w:t>
      </w:r>
    </w:p>
    <w:p>
      <w:pPr>
        <w:pStyle w:val="Normal"/>
        <w:jc w:val="both"/>
        <w:rPr>
          <w:rFonts w:ascii="Trebuchet MS" w:hAnsi="Trebuchet MS" w:cs="Trebuchet MS"/>
          <w:kern w:val="0"/>
          <w:sz w:val="18"/>
          <w:szCs w:val="18"/>
          <w:lang w:val="es-ES" w:eastAsia="es-ES"/>
        </w:rPr>
      </w:pPr>
      <w:r>
        <w:rPr>
          <w:rFonts w:cs="Trebuchet MS" w:ascii="Trebuchet MS" w:hAnsi="Trebuchet MS"/>
          <w:kern w:val="0"/>
          <w:sz w:val="18"/>
          <w:szCs w:val="18"/>
          <w:lang w:val="es-ES" w:eastAsia="es-ES"/>
        </w:rPr>
      </w:r>
    </w:p>
    <w:p>
      <w:pPr>
        <w:pStyle w:val="Normal"/>
        <w:jc w:val="both"/>
        <w:rPr>
          <w:rFonts w:ascii="Trebuchet MS" w:hAnsi="Trebuchet MS" w:cs="Trebuchet MS"/>
          <w:kern w:val="0"/>
          <w:sz w:val="18"/>
          <w:szCs w:val="18"/>
          <w:lang w:val="es-ES" w:eastAsia="es-ES"/>
        </w:rPr>
      </w:pPr>
      <w:r>
        <w:rPr>
          <w:rFonts w:cs="Trebuchet MS" w:ascii="Trebuchet MS" w:hAnsi="Trebuchet MS"/>
          <w:kern w:val="0"/>
          <w:sz w:val="18"/>
          <w:szCs w:val="18"/>
          <w:lang w:val="es-ES" w:eastAsia="es-ES"/>
        </w:rPr>
      </w:r>
    </w:p>
    <w:p>
      <w:pPr>
        <w:pStyle w:val="Prrafodelista"/>
        <w:numPr>
          <w:ilvl w:val="0"/>
          <w:numId w:val="3"/>
        </w:numPr>
        <w:jc w:val="both"/>
        <w:rPr>
          <w:rFonts w:ascii="Trebuchet MS" w:hAnsi="Trebuchet MS" w:eastAsia="Times New Roman" w:cs="Trebuchet MS"/>
          <w:sz w:val="18"/>
          <w:szCs w:val="18"/>
          <w:lang w:val="es-ES" w:eastAsia="es-ES"/>
        </w:rPr>
      </w:pPr>
      <w:r>
        <w:rPr>
          <w:rFonts w:eastAsia="Times New Roman" w:cs="Trebuchet MS" w:ascii="Trebuchet MS" w:hAnsi="Trebuchet MS"/>
          <w:sz w:val="18"/>
          <w:szCs w:val="18"/>
          <w:lang w:val="es-ES" w:eastAsia="es-ES"/>
        </w:rPr>
        <w:t>ROBO CON FRACTURA:  Existe robo con fractura en los siguientes casos:</w:t>
      </w:r>
    </w:p>
    <w:p>
      <w:pPr>
        <w:pStyle w:val="Normal"/>
        <w:jc w:val="both"/>
        <w:rPr>
          <w:rFonts w:ascii="Trebuchet MS" w:hAnsi="Trebuchet MS" w:cs="Trebuchet MS"/>
          <w:kern w:val="0"/>
          <w:sz w:val="18"/>
          <w:szCs w:val="18"/>
          <w:lang w:val="es-ES" w:eastAsia="es-ES"/>
        </w:rPr>
      </w:pPr>
      <w:r>
        <w:rPr>
          <w:rFonts w:cs="Trebuchet MS" w:ascii="Trebuchet MS" w:hAnsi="Trebuchet MS"/>
          <w:kern w:val="0"/>
          <w:sz w:val="18"/>
          <w:szCs w:val="18"/>
          <w:lang w:val="es-ES" w:eastAsia="es-ES"/>
        </w:rPr>
        <w:t>        </w:t>
      </w:r>
      <w:r>
        <w:rPr>
          <w:rFonts w:eastAsia="Trebuchet MS" w:cs="Trebuchet MS" w:ascii="Trebuchet MS" w:hAnsi="Trebuchet MS"/>
          <w:kern w:val="0"/>
          <w:sz w:val="18"/>
          <w:szCs w:val="18"/>
          <w:lang w:val="es-ES" w:eastAsia="es-ES"/>
        </w:rPr>
        <w:t xml:space="preserve"> </w:t>
      </w:r>
    </w:p>
    <w:p>
      <w:pPr>
        <w:pStyle w:val="Normal"/>
        <w:ind w:left="1276" w:hanging="556"/>
        <w:jc w:val="both"/>
        <w:rPr>
          <w:rFonts w:ascii="Trebuchet MS" w:hAnsi="Trebuchet MS" w:cs="Trebuchet MS"/>
          <w:kern w:val="0"/>
          <w:sz w:val="18"/>
          <w:szCs w:val="18"/>
          <w:lang w:val="es-ES" w:eastAsia="es-ES"/>
        </w:rPr>
      </w:pPr>
      <w:r>
        <w:rPr>
          <w:rFonts w:cs="Trebuchet MS" w:ascii="Trebuchet MS" w:hAnsi="Trebuchet MS"/>
          <w:kern w:val="0"/>
          <w:sz w:val="18"/>
          <w:szCs w:val="18"/>
          <w:lang w:val="es-ES" w:eastAsia="es-ES"/>
        </w:rPr>
        <w:t>1.-      Cuando el culpable penetre con fuerza y violencia en los locales asegurados o cuando los abra con llave falsa o con otro medio ilícito.</w:t>
      </w:r>
    </w:p>
    <w:p>
      <w:pPr>
        <w:pStyle w:val="Normal"/>
        <w:jc w:val="both"/>
        <w:rPr>
          <w:rFonts w:ascii="Trebuchet MS" w:hAnsi="Trebuchet MS" w:cs="Trebuchet MS"/>
          <w:kern w:val="0"/>
          <w:sz w:val="18"/>
          <w:szCs w:val="18"/>
          <w:lang w:val="es-ES" w:eastAsia="es-ES"/>
        </w:rPr>
      </w:pPr>
      <w:r>
        <w:rPr>
          <w:rFonts w:cs="Trebuchet MS" w:ascii="Trebuchet MS" w:hAnsi="Trebuchet MS"/>
          <w:kern w:val="0"/>
          <w:sz w:val="18"/>
          <w:szCs w:val="18"/>
          <w:lang w:val="es-ES" w:eastAsia="es-ES"/>
        </w:rPr>
      </w:r>
    </w:p>
    <w:p>
      <w:pPr>
        <w:pStyle w:val="Normal"/>
        <w:ind w:left="1276" w:hanging="556"/>
        <w:jc w:val="both"/>
        <w:rPr>
          <w:rFonts w:ascii="Trebuchet MS" w:hAnsi="Trebuchet MS" w:cs="Trebuchet MS"/>
          <w:kern w:val="0"/>
          <w:sz w:val="18"/>
          <w:szCs w:val="18"/>
          <w:lang w:val="es-ES" w:eastAsia="es-ES"/>
        </w:rPr>
      </w:pPr>
      <w:r>
        <w:rPr>
          <w:rFonts w:cs="Trebuchet MS" w:ascii="Trebuchet MS" w:hAnsi="Trebuchet MS"/>
          <w:kern w:val="0"/>
          <w:sz w:val="18"/>
          <w:szCs w:val="18"/>
          <w:lang w:val="es-ES" w:eastAsia="es-ES"/>
        </w:rPr>
        <w:t>2.-     Cuando el culpable abra las puertas o cajas con llaves correspondientes, siempre que las haya obtenido por las acciones mencionadas en el precedente inciso o por asalto siempre que las llaves de las puertas, cámaras blindadas, cajas de caudales y cajas registradoras, sean conservadas cuidadosamente en otro lugar, fuera de los locales asegurados, durante las horas en que no se trabaje.  En el curso de las horas de trabajo, los empleados responsables deben llevar las llaves correspondientes consigo, guardarlas cuidadosamente aparte del sitio en que se encuentren las cajas respectivas.</w:t>
      </w:r>
    </w:p>
    <w:p>
      <w:pPr>
        <w:pStyle w:val="Normal"/>
        <w:jc w:val="both"/>
        <w:rPr>
          <w:rFonts w:ascii="Trebuchet MS" w:hAnsi="Trebuchet MS" w:cs="Trebuchet MS"/>
          <w:kern w:val="0"/>
          <w:sz w:val="18"/>
          <w:szCs w:val="18"/>
          <w:lang w:val="es-ES" w:eastAsia="es-ES"/>
        </w:rPr>
      </w:pPr>
      <w:r>
        <w:rPr>
          <w:rFonts w:cs="Trebuchet MS" w:ascii="Trebuchet MS" w:hAnsi="Trebuchet MS"/>
          <w:kern w:val="0"/>
          <w:sz w:val="18"/>
          <w:szCs w:val="18"/>
          <w:lang w:val="es-ES" w:eastAsia="es-ES"/>
        </w:rPr>
      </w:r>
    </w:p>
    <w:p>
      <w:pPr>
        <w:pStyle w:val="Prrafodelista"/>
        <w:numPr>
          <w:ilvl w:val="0"/>
          <w:numId w:val="1"/>
        </w:numPr>
        <w:snapToGrid w:val="false"/>
        <w:jc w:val="both"/>
        <w:rPr>
          <w:rFonts w:ascii="Trebuchet MS" w:hAnsi="Trebuchet MS" w:eastAsia="Times New Roman" w:cs="Trebuchet MS"/>
          <w:sz w:val="18"/>
          <w:szCs w:val="18"/>
          <w:lang w:val="es-ES" w:eastAsia="es-ES"/>
        </w:rPr>
      </w:pPr>
      <w:r>
        <w:rPr>
          <w:rFonts w:eastAsia="Times New Roman" w:cs="Trebuchet MS" w:ascii="Trebuchet MS" w:hAnsi="Trebuchet MS"/>
          <w:sz w:val="18"/>
          <w:szCs w:val="18"/>
          <w:lang w:val="es-ES" w:eastAsia="es-ES"/>
        </w:rPr>
        <w:t>ASALTO: Asalto es el robo cometido usando la violencia o amenazas que hagan peligrar la vida.</w:t>
      </w:r>
    </w:p>
    <w:p>
      <w:pPr>
        <w:pStyle w:val="Normal"/>
        <w:jc w:val="both"/>
        <w:rPr>
          <w:rFonts w:ascii="Trebuchet MS" w:hAnsi="Trebuchet MS" w:eastAsia="Times New Roman" w:cs="Trebuchet MS"/>
          <w:kern w:val="0"/>
          <w:sz w:val="18"/>
          <w:szCs w:val="18"/>
          <w:lang w:val="es-ES" w:eastAsia="es-ES"/>
        </w:rPr>
      </w:pPr>
      <w:r>
        <w:rPr>
          <w:rFonts w:eastAsia="Times New Roman" w:cs="Trebuchet MS" w:ascii="Trebuchet MS" w:hAnsi="Trebuchet MS"/>
          <w:kern w:val="0"/>
          <w:sz w:val="18"/>
          <w:szCs w:val="18"/>
          <w:lang w:val="es-ES" w:eastAsia="es-ES"/>
        </w:rPr>
      </w:r>
    </w:p>
    <w:p>
      <w:pPr>
        <w:pStyle w:val="Prrafodelista"/>
        <w:numPr>
          <w:ilvl w:val="0"/>
          <w:numId w:val="1"/>
        </w:numPr>
        <w:snapToGrid w:val="false"/>
        <w:jc w:val="both"/>
        <w:rPr>
          <w:rFonts w:ascii="Trebuchet MS" w:hAnsi="Trebuchet MS" w:eastAsia="Times New Roman" w:cs="Trebuchet MS"/>
          <w:sz w:val="18"/>
          <w:szCs w:val="18"/>
          <w:lang w:val="es-ES" w:eastAsia="es-ES"/>
        </w:rPr>
      </w:pPr>
      <w:r>
        <w:rPr>
          <w:rFonts w:eastAsia="Times New Roman" w:cs="Trebuchet MS" w:ascii="Trebuchet MS" w:hAnsi="Trebuchet MS"/>
          <w:sz w:val="18"/>
          <w:szCs w:val="18"/>
          <w:lang w:val="es-ES" w:eastAsia="es-ES"/>
        </w:rPr>
        <w:t>INTRODUCCION FURTIVA: Existe introducción furtiva, cuando el culpable se introduzca en los locales asegurados durante las horas de trabajo y se esconda en ellos para cometer el delito fuera de las horas en que se trabaje en el establecimiento objeto del Seguro.</w:t>
      </w:r>
    </w:p>
    <w:p>
      <w:pPr>
        <w:pStyle w:val="Prrafodelista"/>
        <w:rPr>
          <w:rFonts w:ascii="Trebuchet MS" w:hAnsi="Trebuchet MS" w:eastAsia="Times New Roman" w:cs="Trebuchet MS"/>
          <w:sz w:val="18"/>
          <w:szCs w:val="18"/>
          <w:lang w:val="es-ES" w:eastAsia="es-ES"/>
        </w:rPr>
      </w:pPr>
      <w:r>
        <w:rPr>
          <w:rFonts w:eastAsia="Times New Roman" w:cs="Trebuchet MS" w:ascii="Trebuchet MS" w:hAnsi="Trebuchet MS"/>
          <w:sz w:val="18"/>
          <w:szCs w:val="18"/>
          <w:lang w:val="es-ES" w:eastAsia="es-ES"/>
        </w:rPr>
      </w:r>
    </w:p>
    <w:p>
      <w:pPr>
        <w:pStyle w:val="Prrafodelista"/>
        <w:numPr>
          <w:ilvl w:val="0"/>
          <w:numId w:val="1"/>
        </w:numPr>
        <w:snapToGrid w:val="false"/>
        <w:jc w:val="both"/>
        <w:rPr>
          <w:rFonts w:ascii="Trebuchet MS" w:hAnsi="Trebuchet MS" w:eastAsia="Times New Roman" w:cs="Trebuchet MS"/>
          <w:sz w:val="18"/>
          <w:szCs w:val="18"/>
          <w:lang w:val="es-ES" w:eastAsia="es-ES"/>
        </w:rPr>
      </w:pPr>
      <w:r>
        <w:rPr>
          <w:rFonts w:eastAsia="Times New Roman" w:cs="Trebuchet MS" w:ascii="Trebuchet MS" w:hAnsi="Trebuchet MS"/>
          <w:sz w:val="18"/>
          <w:szCs w:val="18"/>
          <w:lang w:val="es-ES" w:eastAsia="es-ES"/>
        </w:rPr>
        <w:t>VIOLENCIA FISICA: Implica el uso de la fuerza para dañar a una persona, con todo tipo de acciones como empujones, jaloneos, pellizcos, rasguños, golpes, bofetadas, patadas y aislamiento. El agresor puede utilizar su propio cuerpo o utilizar algún otro objeto, arma o sustancia para lograr sus propósitos.</w:t>
      </w:r>
    </w:p>
    <w:p>
      <w:pPr>
        <w:pStyle w:val="Prrafodelista"/>
        <w:rPr>
          <w:rFonts w:ascii="Trebuchet MS" w:hAnsi="Trebuchet MS" w:eastAsia="Times New Roman" w:cs="Trebuchet MS"/>
          <w:sz w:val="18"/>
          <w:szCs w:val="18"/>
          <w:lang w:val="es-ES" w:eastAsia="es-ES"/>
        </w:rPr>
      </w:pPr>
      <w:r>
        <w:rPr>
          <w:rFonts w:eastAsia="Times New Roman" w:cs="Trebuchet MS" w:ascii="Trebuchet MS" w:hAnsi="Trebuchet MS"/>
          <w:sz w:val="18"/>
          <w:szCs w:val="18"/>
          <w:lang w:val="es-ES" w:eastAsia="es-ES"/>
        </w:rPr>
      </w:r>
    </w:p>
    <w:p>
      <w:pPr>
        <w:pStyle w:val="Prrafodelista"/>
        <w:numPr>
          <w:ilvl w:val="0"/>
          <w:numId w:val="1"/>
        </w:numPr>
        <w:snapToGrid w:val="false"/>
        <w:jc w:val="both"/>
        <w:rPr/>
      </w:pPr>
      <w:r>
        <w:rPr>
          <w:rFonts w:eastAsia="Times New Roman" w:cs="Trebuchet MS" w:ascii="Trebuchet MS" w:hAnsi="Trebuchet MS"/>
          <w:sz w:val="18"/>
          <w:szCs w:val="18"/>
          <w:lang w:val="es-ES" w:eastAsia="es-ES"/>
        </w:rPr>
        <w:t>VIOLENCIA EMOCIONAL: Forma de maltrato que se manifiesta con gritos, insultos, amenazas, prohibiciones, intimidación, humillaciones, descalificaciones, chantajes, manipulación y coacción.</w:t>
      </w:r>
    </w:p>
    <w:p>
      <w:pPr>
        <w:pStyle w:val="Normal"/>
        <w:jc w:val="both"/>
        <w:rPr>
          <w:rFonts w:ascii="Trebuchet MS" w:hAnsi="Trebuchet MS" w:eastAsia="Times New Roman" w:cs="Calibri"/>
          <w:sz w:val="18"/>
          <w:szCs w:val="18"/>
          <w:lang w:val="es-ES" w:eastAsia="es-ES"/>
        </w:rPr>
      </w:pPr>
      <w:r>
        <w:rPr>
          <w:rFonts w:eastAsia="Times New Roman" w:cs="Calibri" w:ascii="Trebuchet MS" w:hAnsi="Trebuchet MS"/>
          <w:sz w:val="18"/>
          <w:szCs w:val="18"/>
          <w:lang w:val="es-ES" w:eastAsia="es-ES"/>
        </w:rPr>
      </w:r>
    </w:p>
    <w:p>
      <w:pPr>
        <w:pStyle w:val="Normal"/>
        <w:jc w:val="both"/>
        <w:rPr>
          <w:rFonts w:ascii="Trebuchet MS" w:hAnsi="Trebuchet MS" w:cs="Calibri"/>
          <w:sz w:val="18"/>
          <w:szCs w:val="18"/>
          <w:lang w:val="es-ES"/>
        </w:rPr>
      </w:pPr>
      <w:r>
        <w:rPr>
          <w:rFonts w:cs="Calibri" w:ascii="Trebuchet MS" w:hAnsi="Trebuchet MS"/>
          <w:sz w:val="18"/>
          <w:szCs w:val="18"/>
          <w:lang w:val="es-ES"/>
        </w:rPr>
      </w:r>
    </w:p>
    <w:p>
      <w:pPr>
        <w:pStyle w:val="Normal"/>
        <w:jc w:val="both"/>
        <w:rPr>
          <w:rFonts w:ascii="Trebuchet MS" w:hAnsi="Trebuchet MS" w:cs="Calibri"/>
          <w:sz w:val="18"/>
          <w:szCs w:val="18"/>
          <w:lang w:val="es-ES"/>
        </w:rPr>
      </w:pPr>
      <w:r>
        <w:rPr>
          <w:rFonts w:cs="Calibri" w:ascii="Trebuchet MS" w:hAnsi="Trebuchet MS"/>
          <w:sz w:val="18"/>
          <w:szCs w:val="18"/>
          <w:lang w:val="es-ES"/>
        </w:rPr>
        <w:t>Todos los demás términos y condiciones permanecen sin modificación.</w:t>
      </w:r>
    </w:p>
    <w:p>
      <w:pPr>
        <w:pStyle w:val="Normal"/>
        <w:rPr>
          <w:rFonts w:ascii="Trebuchet MS" w:hAnsi="Trebuchet MS" w:cs="Calibri"/>
          <w:sz w:val="20"/>
          <w:szCs w:val="18"/>
          <w:lang w:val="es-ES"/>
        </w:rPr>
      </w:pPr>
      <w:r>
        <w:rPr>
          <w:rFonts w:cs="Calibri" w:ascii="Trebuchet MS" w:hAnsi="Trebuchet MS"/>
          <w:sz w:val="20"/>
          <w:szCs w:val="18"/>
          <w:lang w:val="es-ES"/>
        </w:rPr>
      </w:r>
    </w:p>
    <w:p>
      <w:pPr>
        <w:pStyle w:val="CM4"/>
        <w:spacing w:lineRule="atLeast" w:line="203"/>
        <w:jc w:val="both"/>
        <w:rPr>
          <w:rFonts w:ascii="Calibri" w:hAnsi="Calibri" w:cs="Calibri"/>
          <w:sz w:val="20"/>
          <w:szCs w:val="20"/>
          <w:lang w:val="es-ES"/>
        </w:rPr>
      </w:pPr>
      <w:r>
        <w:rPr>
          <w:rFonts w:cs="Calibri" w:ascii="Calibri" w:hAnsi="Calibri"/>
          <w:sz w:val="20"/>
          <w:szCs w:val="20"/>
          <w:lang w:val="es-ES"/>
        </w:rPr>
      </w:r>
    </w:p>
    <w:p>
      <w:pPr>
        <w:pStyle w:val="Normal"/>
        <w:jc w:val="center"/>
        <w:rPr>
          <w:rFonts w:ascii="Trebuchet MS" w:hAnsi="Trebuchet MS" w:cs="Arial"/>
          <w:b/>
          <w:b/>
          <w:sz w:val="18"/>
          <w:szCs w:val="18"/>
          <w:lang w:val="es-BO"/>
        </w:rPr>
      </w:pPr>
      <w:r>
        <w:rPr>
          <w:rFonts w:cs="Arial" w:ascii="Trebuchet MS" w:hAnsi="Trebuchet MS"/>
          <w:b/>
          <w:sz w:val="18"/>
          <w:szCs w:val="18"/>
          <w:lang w:val="es-BO"/>
        </w:rPr>
        <w:t>“</w:t>
      </w:r>
      <w:r>
        <w:rPr>
          <w:rFonts w:cs="Arial" w:ascii="Trebuchet MS" w:hAnsi="Trebuchet MS"/>
          <w:b/>
          <w:sz w:val="18"/>
          <w:szCs w:val="18"/>
          <w:lang w:val="es-BO"/>
        </w:rPr>
        <w:t>NACIONAL SEGUROS PATRIMONIALES Y FIANZAS S.A.”</w:t>
      </w:r>
    </w:p>
    <w:p>
      <w:pPr>
        <w:pStyle w:val="CM4"/>
        <w:spacing w:lineRule="atLeast" w:line="203"/>
        <w:jc w:val="both"/>
        <w:rPr>
          <w:rFonts w:ascii="Calibri" w:hAnsi="Calibri" w:cs="Calibri"/>
          <w:b/>
          <w:b/>
          <w:sz w:val="20"/>
          <w:szCs w:val="20"/>
          <w:lang w:val="es-BO"/>
        </w:rPr>
      </w:pPr>
      <w:r>
        <w:rPr>
          <w:rFonts w:cs="Calibri" w:ascii="Calibri" w:hAnsi="Calibri"/>
          <w:b/>
          <w:sz w:val="20"/>
          <w:szCs w:val="20"/>
          <w:lang w:val="es-BO"/>
        </w:rPr>
      </w:r>
    </w:p>
    <w:p>
      <w:pPr>
        <w:pStyle w:val="Normal"/>
        <w:spacing w:before="28" w:after="28"/>
        <w:rPr>
          <w:rFonts w:ascii="Calibri" w:hAnsi="Calibri" w:cs="Calibri"/>
          <w:sz w:val="20"/>
          <w:szCs w:val="20"/>
          <w:lang w:val="es-BO"/>
        </w:rPr>
      </w:pPr>
      <w:r>
        <w:rPr>
          <w:rFonts w:cs="Calibri" w:ascii="Calibri" w:hAnsi="Calibri"/>
          <w:sz w:val="20"/>
          <w:szCs w:val="20"/>
          <w:lang w:val="es-BO"/>
        </w:rPr>
      </w:r>
    </w:p>
    <w:sectPr>
      <w:headerReference w:type="default" r:id="rId2"/>
      <w:type w:val="nextPage"/>
      <w:pgSz w:w="12240" w:h="15840"/>
      <w:pgMar w:left="1418" w:right="1418" w:gutter="0" w:header="709" w:top="1418" w:footer="0" w:bottom="1134"/>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Trebuchet MS">
    <w:charset w:val="00"/>
    <w:family w:val="swiss"/>
    <w:pitch w:val="variable"/>
  </w:font>
  <w:font w:name="Calibri">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isplayBackgroundShape/>
  <w:trackRevisions/>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Courier New" w:hAnsi="Courier New" w:eastAsia="Times New Roman" w:cs="Courier New"/>
      <w:color w:val="auto"/>
      <w:kern w:val="2"/>
      <w:sz w:val="24"/>
      <w:szCs w:val="20"/>
      <w:lang w:val="en-US" w:bidi="ar-SA" w:eastAsia="zh-CN"/>
    </w:rPr>
  </w:style>
  <w:style w:type="character" w:styleId="Fuentedeprrafopredeter">
    <w:name w:val="Fuente de párrafo predeter."/>
    <w:qFormat/>
    <w:rPr/>
  </w:style>
  <w:style w:type="character" w:styleId="DefaultParagraphFont">
    <w:name w:val="Default Paragraph Font"/>
    <w:qFormat/>
    <w:rPr/>
  </w:style>
  <w:style w:type="character" w:styleId="Textoindependiente2Car">
    <w:name w:val="Texto independiente 2 Car"/>
    <w:qFormat/>
    <w:rPr>
      <w:kern w:val="2"/>
      <w:sz w:val="24"/>
      <w:szCs w:val="24"/>
      <w:lang w:val="es-MX"/>
    </w:rPr>
  </w:style>
  <w:style w:type="character" w:styleId="EncabezadoCar">
    <w:name w:val="Encabezado Car"/>
    <w:qFormat/>
    <w:rPr>
      <w:rFonts w:ascii="Courier New" w:hAnsi="Courier New" w:cs="Courier New"/>
      <w:sz w:val="24"/>
      <w:lang w:val="en-US"/>
    </w:rPr>
  </w:style>
  <w:style w:type="character" w:styleId="PiedepginaCar">
    <w:name w:val="Pie de página Car"/>
    <w:qFormat/>
    <w:rPr>
      <w:rFonts w:ascii="Courier New" w:hAnsi="Courier New" w:cs="Courier New"/>
      <w:sz w:val="24"/>
      <w:lang w:val="en-US"/>
    </w:rPr>
  </w:style>
  <w:style w:type="character" w:styleId="TextodegloboCar">
    <w:name w:val="Texto de globo Car"/>
    <w:qFormat/>
    <w:rPr>
      <w:rFonts w:ascii="Tahoma" w:hAnsi="Tahoma" w:cs="Tahoma"/>
      <w:sz w:val="16"/>
      <w:szCs w:val="16"/>
      <w:lang w:val="en-US"/>
    </w:rPr>
  </w:style>
  <w:style w:type="character" w:styleId="TextodegloboCar1">
    <w:name w:val="Texto de globo Car1"/>
    <w:qFormat/>
    <w:rPr>
      <w:rFonts w:ascii="Tahoma" w:hAnsi="Tahoma" w:cs="Tahoma"/>
      <w:kern w:val="2"/>
      <w:sz w:val="16"/>
      <w:szCs w:val="16"/>
      <w:lang w:val="en-US"/>
    </w:rPr>
  </w:style>
  <w:style w:type="character" w:styleId="TextocomentarioCar">
    <w:name w:val="Texto comentario Car"/>
    <w:qFormat/>
    <w:rPr>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cabezado1">
    <w:name w:val="Encabezado1"/>
    <w:basedOn w:val="Normal"/>
    <w:next w:val="TextBody"/>
    <w:qFormat/>
    <w:pPr>
      <w:keepNext w:val="true"/>
      <w:spacing w:before="240" w:after="120"/>
    </w:pPr>
    <w:rPr>
      <w:rFonts w:ascii="Arial" w:hAnsi="Arial" w:eastAsia="Microsoft YaHei" w:cs="Mangal"/>
      <w:sz w:val="28"/>
      <w:szCs w:val="28"/>
    </w:rPr>
  </w:style>
  <w:style w:type="paragraph" w:styleId="Etiqueta">
    <w:name w:val="Etiqueta"/>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BodyText2">
    <w:name w:val="Body Text 2"/>
    <w:basedOn w:val="Normal"/>
    <w:qFormat/>
    <w:pPr>
      <w:widowControl/>
      <w:suppressAutoHyphens w:val="true"/>
      <w:jc w:val="both"/>
    </w:pPr>
    <w:rPr>
      <w:rFonts w:ascii="Times New Roman" w:hAnsi="Times New Roman" w:cs="Times New Roman"/>
      <w:kern w:val="2"/>
      <w:szCs w:val="24"/>
      <w:lang w:val="es-MX"/>
    </w:rPr>
  </w:style>
  <w:style w:type="paragraph" w:styleId="CM1">
    <w:name w:val="CM1"/>
    <w:basedOn w:val="Normal"/>
    <w:qFormat/>
    <w:pPr>
      <w:suppressAutoHyphens w:val="true"/>
    </w:pPr>
    <w:rPr>
      <w:rFonts w:ascii="Trebuchet MS" w:hAnsi="Trebuchet MS" w:eastAsia="Arial" w:cs="Trebuchet MS"/>
      <w:color w:val="000000"/>
      <w:kern w:val="2"/>
      <w:szCs w:val="24"/>
      <w:lang w:val="es-E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uppressLineNumbers/>
      <w:tabs>
        <w:tab w:val="clear" w:pos="708"/>
        <w:tab w:val="center" w:pos="4419" w:leader="none"/>
        <w:tab w:val="right" w:pos="8838" w:leader="none"/>
      </w:tabs>
    </w:pPr>
    <w:rPr/>
  </w:style>
  <w:style w:type="paragraph" w:styleId="Footer">
    <w:name w:val="Footer"/>
    <w:basedOn w:val="Normal"/>
    <w:pPr>
      <w:suppressLineNumbers/>
      <w:tabs>
        <w:tab w:val="clear" w:pos="708"/>
        <w:tab w:val="center" w:pos="4419" w:leader="none"/>
        <w:tab w:val="right" w:pos="8838" w:leader="none"/>
      </w:tabs>
    </w:pPr>
    <w:rPr/>
  </w:style>
  <w:style w:type="paragraph" w:styleId="BalloonText">
    <w:name w:val="Balloon Text"/>
    <w:basedOn w:val="Normal"/>
    <w:qFormat/>
    <w:pPr/>
    <w:rPr>
      <w:rFonts w:ascii="Tahoma" w:hAnsi="Tahoma" w:cs="Tahoma"/>
      <w:sz w:val="16"/>
      <w:szCs w:val="16"/>
    </w:rPr>
  </w:style>
  <w:style w:type="paragraph" w:styleId="CM4">
    <w:name w:val="CM4"/>
    <w:basedOn w:val="Normal"/>
    <w:next w:val="Normal"/>
    <w:qFormat/>
    <w:pPr>
      <w:suppressAutoHyphens w:val="false"/>
      <w:autoSpaceDE w:val="false"/>
      <w:spacing w:before="0" w:after="200"/>
    </w:pPr>
    <w:rPr>
      <w:rFonts w:ascii="Trebuchet MS" w:hAnsi="Trebuchet MS" w:cs="Trebuchet MS"/>
      <w:kern w:val="0"/>
      <w:szCs w:val="24"/>
      <w:lang w:val="es-ES"/>
    </w:rPr>
  </w:style>
  <w:style w:type="paragraph" w:styleId="CM3">
    <w:name w:val="CM3"/>
    <w:basedOn w:val="Normal"/>
    <w:next w:val="Normal"/>
    <w:qFormat/>
    <w:pPr>
      <w:suppressAutoHyphens w:val="false"/>
      <w:autoSpaceDE w:val="false"/>
      <w:spacing w:lineRule="atLeast" w:line="211"/>
    </w:pPr>
    <w:rPr>
      <w:rFonts w:ascii="Trebuchet MS" w:hAnsi="Trebuchet MS" w:cs="Trebuchet MS"/>
      <w:kern w:val="0"/>
      <w:szCs w:val="24"/>
      <w:lang w:val="es-ES"/>
    </w:rPr>
  </w:style>
  <w:style w:type="paragraph" w:styleId="Prrafodelista">
    <w:name w:val="Párrafo de lista"/>
    <w:basedOn w:val="Normal"/>
    <w:qFormat/>
    <w:pPr>
      <w:widowControl/>
      <w:suppressAutoHyphens w:val="false"/>
      <w:ind w:left="720" w:hanging="0"/>
    </w:pPr>
    <w:rPr>
      <w:rFonts w:ascii="Calibri" w:hAnsi="Calibri" w:eastAsia="Calibri" w:cs="Calibri"/>
      <w:kern w:val="0"/>
      <w:sz w:val="22"/>
      <w:szCs w:val="22"/>
      <w:lang w:val="es-BO"/>
    </w:rPr>
  </w:style>
  <w:style w:type="paragraph" w:styleId="Textodeglobo">
    <w:name w:val="Texto de globo"/>
    <w:basedOn w:val="Normal"/>
    <w:qFormat/>
    <w:pPr/>
    <w:rPr>
      <w:rFonts w:ascii="Tahoma" w:hAnsi="Tahoma" w:cs="Tahoma"/>
      <w:sz w:val="16"/>
      <w:szCs w:val="16"/>
    </w:rPr>
  </w:style>
  <w:style w:type="paragraph" w:styleId="Textocomentario">
    <w:name w:val="Texto comentario"/>
    <w:basedOn w:val="Normal"/>
    <w:qFormat/>
    <w:pPr>
      <w:widowControl/>
      <w:suppressAutoHyphens w:val="false"/>
    </w:pPr>
    <w:rPr>
      <w:rFonts w:ascii="Times New Roman" w:hAnsi="Times New Roman" w:cs="Times New Roman"/>
      <w:kern w:val="0"/>
      <w:sz w:val="20"/>
      <w:lang w:val="es-E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Company>Tcorp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2015-09-04T19:21:00Z</dcterms:created>
  <dc:creator>acloma</dc:creator>
  <dc:description/>
  <cp:keywords/>
  <dc:language>en-US</dc:language>
  <cp:lastModifiedBy>Blanca Yola Iris Rivera Coronel</cp:lastModifiedBy>
  <cp:lastPrinted>2015-09-10T08:40:00Z</cp:lastPrinted>
  <dcterms:modified xsi:type="dcterms:W3CDTF">2015-09-10T09:17:00Z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