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 /SPVS/IS/No. 415 de fecha 13 de Junio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eastAsia="Trebuchet MS" w:cs="Trebuchet MS" w:ascii="Trebuchet MS" w:hAnsi="Trebuchet MS"/>
          <w:b/>
          <w:bCs/>
          <w:sz w:val="18"/>
          <w:szCs w:val="18"/>
        </w:rPr>
        <w:t xml:space="preserve">       </w:t>
      </w:r>
      <w:r>
        <w:rPr>
          <w:rFonts w:cs="Trebuchet MS" w:ascii="Trebuchet MS" w:hAnsi="Trebuchet MS"/>
          <w:b/>
          <w:bCs/>
          <w:sz w:val="18"/>
          <w:szCs w:val="18"/>
        </w:rPr>
        <w:t>CLAUSULA DE ROTURA DE VIDRIOS Y/O LETREROS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Asignado115-910101-2007 06 001 2842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 APS/DS/No135/</w:t>
      </w:r>
      <w:r>
        <w:rPr>
          <w:rFonts w:cs="Calibri" w:ascii="Trebuchet MS" w:hAnsi="Trebuchet MS"/>
          <w:b/>
          <w:sz w:val="18"/>
          <w:szCs w:val="18"/>
        </w:rPr>
        <w:t xml:space="preserve">2018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DE FECHA 01 DE FEBRERO DE 2018</w:t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Arial"/>
          <w:b/>
          <w:b/>
          <w:i/>
          <w:i/>
          <w:iCs/>
          <w:spacing w:val="-2"/>
          <w:sz w:val="20"/>
          <w:szCs w:val="18"/>
          <w:lang w:val="es-ES_tradnl"/>
        </w:rPr>
      </w:pPr>
      <w:r>
        <w:rPr>
          <w:rFonts w:cs="Arial" w:ascii="Trebuchet MS" w:hAnsi="Trebuchet MS"/>
          <w:b/>
          <w:i/>
          <w:iCs/>
          <w:spacing w:val="-2"/>
          <w:sz w:val="20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iCs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 xml:space="preserve">Queda entendido y convenido que, se extiende a cubrir las pérdidas o daños causados por rotura,  fractura, quebradura o rajadura de </w:t>
      </w:r>
      <w:r>
        <w:rPr>
          <w:rFonts w:cs="Trebuchet MS" w:ascii="Trebuchet MS" w:hAnsi="Trebuchet MS"/>
          <w:sz w:val="18"/>
          <w:szCs w:val="18"/>
        </w:rPr>
        <w:t>por cualquier causa de vidrios, cristales, vitrales, acrílicos, sean estos normales y/o blindex, sean internos y/o externos de la estructura del edificio, puertas, mamparas, escritorios, ventanas, claraboyas, espejos, incluyendo lámparas, sanitarios, cerámica y/o adornos de iluminación</w:t>
      </w: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 xml:space="preserve"> hasta el límite asegurado establecido en las Condiciones Particulares.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suppressAutoHyphens w:val="true"/>
        <w:jc w:val="both"/>
        <w:rPr>
          <w:rFonts w:ascii="Trebuchet MS" w:hAnsi="Trebuchet MS" w:cs="Trebuchet MS"/>
          <w:b/>
          <w:b/>
          <w:b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bCs/>
          <w:spacing w:val="-2"/>
          <w:sz w:val="18"/>
          <w:szCs w:val="18"/>
          <w:lang w:val="es-ES_tradnl"/>
        </w:rPr>
      </w:r>
    </w:p>
    <w:p>
      <w:pPr>
        <w:pStyle w:val="Normal"/>
        <w:suppressAutoHyphens w:val="true"/>
        <w:jc w:val="both"/>
        <w:rPr>
          <w:rFonts w:ascii="Trebuchet MS" w:hAnsi="Trebuchet MS" w:cs="Trebuchet MS"/>
          <w:b/>
          <w:b/>
          <w:bCs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bCs/>
          <w:sz w:val="18"/>
          <w:szCs w:val="18"/>
          <w:lang w:val="es-ES_tradnl"/>
        </w:rPr>
        <w:t>CONDICIONES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</w:tabs>
        <w:ind w:left="709" w:hanging="227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Es condición de cobertura por esta cláusula que se declare el valor de los cristales, vidrio, espejos y/o letreros asegurados, estableciéndose un límite asegurado por evento.  Para los letreros, además el detalle deberá incluir  una descripción del tipo de letrero, su tipo de iluminación,  su ubicación y sus medidas.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</w:tabs>
        <w:ind w:left="709" w:hanging="227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La responsabilidad de la Compañía bajo esta Cláusula se limita al valor del cristal, espejo, vidrio o letrero al momento de su rotura, pudiendo la Compañía a su voluntad, pagar el valor de los cristales, espejos, vidrios o letreros rotos o reponerlos, pero nunca la indemnización podrá exceder el límite asegurado especificado en las Condiciones Particulares para esta Cláusula.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</w:tabs>
        <w:ind w:left="709" w:hanging="227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 xml:space="preserve">El Asegurado tiene la obligación de hacer todo lo que esté razonablemente a su alcance, para que la rotura no tome mayores proporciones.  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</w:tabs>
        <w:ind w:left="709" w:hanging="227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Siempre que sea necesario, el Asegurado retirará y repondrá cualquier marco en las instalaciones, o cualquier otro obstáculo que impida la remoción y la reposición del cristal o vidrios o letreros rotos, quedando a cargo de los gastos correspondientes.</w:t>
      </w:r>
    </w:p>
    <w:p>
      <w:pPr>
        <w:pStyle w:val="Normal"/>
        <w:widowControl w:val="false"/>
        <w:ind w:left="709" w:hanging="0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suppressAutoHyphens w:val="true"/>
        <w:jc w:val="both"/>
        <w:rPr/>
      </w:pPr>
      <w:r>
        <w:rPr>
          <w:rFonts w:cs="Trebuchet MS" w:ascii="Trebuchet MS" w:hAnsi="Trebuchet MS"/>
          <w:b/>
          <w:bCs/>
          <w:sz w:val="18"/>
          <w:szCs w:val="18"/>
        </w:rPr>
        <w:t xml:space="preserve">EXCLUSIONES 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El presente seguro no cubre los daños cuando los mismos sean causados a o cuando sean consecuencia directa o indirecta de: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</w:tabs>
        <w:ind w:left="709" w:hanging="94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Pérdida o daño que ocurra antes de que el vidrio este instalado de manera firme y acabada.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</w:tabs>
        <w:ind w:left="709" w:hanging="94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Pérdida o daño que se derive del traslado, reparación o cambio de los objetos asegurados o reparación o demolición del edificio donde se encuentran instalados.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</w:tabs>
        <w:ind w:left="709" w:hanging="94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Pérdida o daño a cualquier inscripción o adorno coloreado, pintado, grabado o letreros relieves, o cualquier otro trabajo de fantasía, sobre cualquier cristal, espejo, vidrio o letrero a menos que se halle expresamente descrito en las Condiciones Particulares  y que haya sido causado por la rotura del cristal, espejo, vidrio o letrero sobre los cuales se encontraba.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</w:tabs>
        <w:ind w:left="709" w:hanging="94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Se excluyen los marcos, cuadros, armazones o accesorios que sirven para sostener los cristales, espejos o vidrios.  En el caso de letreros los armazones pueden ser incluidos, siempre y cuando sean parte del valor asegurado y hayan sido declarados.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</w:tabs>
        <w:ind w:left="709" w:hanging="94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Se excluyen aquellos vidrios colocados o instalados en, lámparas, vajilla, cuadros y otros, que no se encuentren detallados dentro de la materia asegurada.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</w:tabs>
        <w:ind w:left="709" w:hanging="94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Las pérdidas o daños causados directa o indirectamente por los riesgos de terremoto, temblor, rayo, granizo, vientos huracanados, conmociones civiles, huelgas, vandalismo, sabotaje, explosión de cualquier naturaleza, boom sónico y por cualquier trastorno de origen terrestre o atmosférico, salvo que estas coberturas se encuentren también cubiertas por la póliza principal o mediante un anexo.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8"/>
        </w:tabs>
        <w:ind w:left="709" w:hanging="94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La pérdida o daño que ocurra a los vidrios o cristales o espejos o letreros que hayan sido pagados o repuestos por la Compañía, a menos que el Asegurado pague la prima adicional correspondiente al valor y clase de los mismos.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Las estipulaciones de la presente cláusula se aplicarán únicamente a los bienes cubiertos por la Póliza Principal.</w:t>
      </w:r>
    </w:p>
    <w:p>
      <w:pPr>
        <w:pStyle w:val="Normal"/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Normal"/>
        <w:autoSpaceDE w:val="false"/>
        <w:jc w:val="both"/>
        <w:rPr>
          <w:rFonts w:ascii="Trebuchet MS" w:hAnsi="Trebuchet MS" w:cs="Trebuchet MS"/>
          <w:iCs/>
          <w:sz w:val="18"/>
          <w:szCs w:val="18"/>
        </w:rPr>
      </w:pPr>
      <w:r>
        <w:rPr>
          <w:rFonts w:cs="Trebuchet MS" w:ascii="Trebuchet MS" w:hAnsi="Trebuchet MS"/>
          <w:iCs/>
          <w:sz w:val="18"/>
          <w:szCs w:val="18"/>
        </w:rPr>
        <w:t>Todos los demás términos y condiciones de la Póliza, de la cual la presente Cláusula forma parte integrante e indivisible, se mantienen sin alteración.</w:t>
      </w:r>
    </w:p>
    <w:p>
      <w:pPr>
        <w:pStyle w:val="Textoindependiente2"/>
        <w:rPr>
          <w:rFonts w:ascii="Trebuchet MS" w:hAnsi="Trebuchet MS" w:cs="Trebuchet MS"/>
          <w:iCs/>
          <w:sz w:val="18"/>
          <w:szCs w:val="18"/>
        </w:rPr>
      </w:pPr>
      <w:r>
        <w:rPr>
          <w:rFonts w:cs="Trebuchet MS" w:ascii="Trebuchet MS" w:hAnsi="Trebuchet MS"/>
          <w:iCs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type w:val="nextPage"/>
      <w:pgSz w:w="11906" w:h="16838"/>
      <w:pgMar w:left="1701" w:right="1701" w:gutter="0" w:header="0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cs="Times New Roman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2017-11-27T16:57:00Z</dcterms:created>
  <dc:creator>acloma</dc:creator>
  <dc:description/>
  <cp:keywords/>
  <dc:language>en-US</dc:language>
  <cp:lastModifiedBy>Keila Areli Peláez Mendoza</cp:lastModifiedBy>
  <cp:lastPrinted>2017-11-27T16:56:00Z</cp:lastPrinted>
  <dcterms:modified xsi:type="dcterms:W3CDTF">2023-09-25T10:26:00Z</dcterms:modified>
  <cp:revision>5</cp:revision>
  <dc:subject/>
  <dc:title>ANEXO DE DAÑOS A CAUSAS DE LA NATURALEZA</dc:title>
</cp:coreProperties>
</file>