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hanging="0"/>
        <w:jc w:val="center"/>
        <w:rPr>
          <w:rFonts w:ascii="Calibri" w:hAnsi="Calibri"/>
          <w:b/>
          <w:b/>
          <w:sz w:val="20"/>
          <w:szCs w:val="18"/>
        </w:rPr>
      </w:pPr>
      <w:r>
        <w:rPr>
          <w:rFonts w:ascii="Calibri" w:hAnsi="Calibri"/>
          <w:b/>
          <w:sz w:val="20"/>
          <w:szCs w:val="18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bidi w:val="0"/>
        <w:ind w:left="0" w:right="0" w:hanging="0"/>
        <w:jc w:val="center"/>
        <w:rPr>
          <w:lang w:val="es-ES_tradnl"/>
        </w:rPr>
      </w:pPr>
      <w:r>
        <w:rPr>
          <w:rFonts w:cs="Arial" w:ascii="Calibri" w:hAnsi="Calibri"/>
          <w:b/>
          <w:spacing w:val="-2"/>
          <w:sz w:val="20"/>
          <w:szCs w:val="18"/>
          <w:lang w:val="es-ES_tradnl"/>
        </w:rPr>
        <w:t>PÓLIZA DE SEGURO DE TODO RIESGO DE DAÑOS A LA PROPIEDAD</w:t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cs="Calibri" w:ascii="Calibri" w:hAnsi="Calibri"/>
          <w:b/>
          <w:sz w:val="20"/>
          <w:szCs w:val="18"/>
        </w:rPr>
        <w:t xml:space="preserve">Código asignado </w:t>
      </w:r>
      <w:r>
        <w:rPr>
          <w:rFonts w:ascii="Calibri" w:hAnsi="Calibri"/>
          <w:b/>
          <w:sz w:val="20"/>
          <w:szCs w:val="18"/>
          <w:lang w:val="es-ES_tradnl"/>
        </w:rPr>
        <w:t xml:space="preserve">115-910101-2007 06 001    </w:t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ascii="Calibri" w:hAnsi="Calibri"/>
          <w:b/>
          <w:sz w:val="20"/>
          <w:szCs w:val="18"/>
          <w:lang w:val="es-ES_tradnl"/>
        </w:rPr>
        <w:t xml:space="preserve">RESOLUCION ADMINISTRATIVA </w:t>
      </w:r>
      <w:r>
        <w:rPr>
          <w:rFonts w:cs="Arial" w:ascii="Calibri" w:hAnsi="Calibri"/>
          <w:b/>
          <w:spacing w:val="-2"/>
          <w:sz w:val="20"/>
          <w:szCs w:val="18"/>
          <w:lang w:val="es-ES_tradnl"/>
        </w:rPr>
        <w:t>SPVS/IS/No.</w:t>
      </w:r>
      <w:r>
        <w:rPr>
          <w:rFonts w:ascii="Calibri" w:hAnsi="Calibri"/>
          <w:b/>
          <w:sz w:val="20"/>
          <w:szCs w:val="18"/>
          <w:lang w:val="es-ES_tradnl"/>
        </w:rPr>
        <w:t xml:space="preserve"> 415/2007 DE 13 de junio de 2007    </w:t>
      </w:r>
    </w:p>
    <w:p>
      <w:pPr>
        <w:pStyle w:val="Normal"/>
        <w:bidi w:val="0"/>
        <w:ind w:left="0" w:right="0" w:hanging="0"/>
        <w:jc w:val="center"/>
        <w:rPr>
          <w:rFonts w:ascii="Calibri" w:hAnsi="Calibri"/>
          <w:b/>
          <w:b/>
          <w:sz w:val="20"/>
          <w:szCs w:val="18"/>
        </w:rPr>
      </w:pPr>
      <w:r>
        <w:rPr>
          <w:rFonts w:ascii="Calibri" w:hAnsi="Calibri"/>
          <w:b/>
          <w:sz w:val="20"/>
          <w:szCs w:val="18"/>
        </w:rPr>
      </w:r>
    </w:p>
    <w:p>
      <w:pPr>
        <w:pStyle w:val="Normal"/>
        <w:bidi w:val="0"/>
        <w:ind w:left="0" w:right="0" w:hanging="0"/>
        <w:jc w:val="center"/>
        <w:rPr>
          <w:rFonts w:ascii="Calibri" w:hAnsi="Calibri"/>
          <w:b/>
          <w:b/>
          <w:sz w:val="20"/>
          <w:szCs w:val="18"/>
        </w:rPr>
      </w:pPr>
      <w:r>
        <w:rPr>
          <w:rFonts w:ascii="Calibri" w:hAnsi="Calibri"/>
          <w:b/>
          <w:sz w:val="20"/>
          <w:szCs w:val="18"/>
        </w:rPr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ascii="Calibri" w:hAnsi="Calibri"/>
          <w:b/>
          <w:sz w:val="20"/>
          <w:szCs w:val="18"/>
        </w:rPr>
        <w:t>CLÁUSULA DE SIFONAMIENTO</w:t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ascii="Calibri" w:hAnsi="Calibri"/>
          <w:b/>
          <w:sz w:val="20"/>
          <w:szCs w:val="18"/>
        </w:rPr>
        <w:t>CÓDIGO ASIGNADO 115-910101-2007 06 001 2826</w:t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ascii="Calibri" w:hAnsi="Calibri"/>
          <w:b/>
          <w:sz w:val="20"/>
          <w:szCs w:val="18"/>
        </w:rPr>
        <w:t>RESOLUCION ADMINISTRATIVA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b/>
          <w:sz w:val="20"/>
          <w:szCs w:val="18"/>
        </w:rPr>
        <w:t>APS/DS/No. 1223/2017 DE FECHA 02 DE OCTUBRE DE 2017</w:t>
      </w:r>
    </w:p>
    <w:p>
      <w:pPr>
        <w:pStyle w:val="Default"/>
        <w:bidi w:val="0"/>
        <w:ind w:left="0" w:right="0" w:hanging="0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CM3"/>
        <w:bidi w:val="0"/>
        <w:spacing w:lineRule="atLeast" w:line="211"/>
        <w:ind w:left="0" w:right="0" w:hanging="0"/>
        <w:jc w:val="both"/>
        <w:rPr/>
      </w:pPr>
      <w:r>
        <w:rPr>
          <w:rFonts w:ascii="Calibri" w:hAnsi="Calibri"/>
          <w:sz w:val="20"/>
          <w:szCs w:val="18"/>
        </w:rPr>
        <w:t>Se aclara que este seguro cubre toda pérdida o daño que sufran los bienes asegurados provenientes de sifonamiento del terreno, por infiltración del agua o subida del nivel freático.</w:t>
      </w:r>
    </w:p>
    <w:p>
      <w:pPr>
        <w:pStyle w:val="CM3"/>
        <w:bidi w:val="0"/>
        <w:spacing w:lineRule="atLeast" w:line="211"/>
        <w:ind w:left="0" w:right="0" w:hanging="0"/>
        <w:jc w:val="both"/>
        <w:rPr/>
      </w:pPr>
      <w:r>
        <w:rPr>
          <w:rFonts w:ascii="Calibri" w:hAnsi="Calibri"/>
          <w:sz w:val="20"/>
          <w:szCs w:val="18"/>
        </w:rPr>
        <w:t xml:space="preserve">EXCLUSIONES </w:t>
      </w:r>
    </w:p>
    <w:p>
      <w:pPr>
        <w:pStyle w:val="CM3"/>
        <w:bidi w:val="0"/>
        <w:spacing w:lineRule="atLeast" w:line="211"/>
        <w:ind w:left="0" w:right="0" w:hanging="0"/>
        <w:jc w:val="both"/>
        <w:rPr/>
      </w:pPr>
      <w:r>
        <w:rPr>
          <w:rFonts w:ascii="Calibri" w:hAnsi="Calibri"/>
          <w:sz w:val="20"/>
          <w:szCs w:val="18"/>
        </w:rPr>
        <w:t xml:space="preserve">Se aclarar que esta cláusula no se extiende a cubrir pérdidas o daños de bienes, cuando tales pérdidas o daños sean consecuencia directa o indirecta de los siguientes acontecimientos: </w:t>
      </w:r>
    </w:p>
    <w:p>
      <w:pPr>
        <w:pStyle w:val="Default"/>
        <w:bidi w:val="0"/>
        <w:ind w:left="0" w:right="0" w:hanging="0"/>
        <w:rPr>
          <w:rFonts w:ascii="Calibri" w:hAnsi="Calibri"/>
          <w:color w:val="auto"/>
          <w:sz w:val="20"/>
          <w:szCs w:val="18"/>
        </w:rPr>
      </w:pPr>
      <w:r>
        <w:rPr>
          <w:rFonts w:ascii="Calibri" w:hAnsi="Calibri"/>
          <w:color w:val="auto"/>
          <w:sz w:val="20"/>
          <w:szCs w:val="18"/>
        </w:rPr>
      </w:r>
    </w:p>
    <w:p>
      <w:pPr>
        <w:pStyle w:val="CM3"/>
        <w:numPr>
          <w:ilvl w:val="0"/>
          <w:numId w:val="1"/>
        </w:numPr>
        <w:tabs>
          <w:tab w:val="clear" w:pos="720"/>
          <w:tab w:val="left" w:pos="8880" w:leader="none"/>
        </w:tabs>
        <w:bidi w:val="0"/>
        <w:spacing w:lineRule="atLeast" w:line="203"/>
        <w:ind w:left="1238" w:right="-51" w:hanging="360"/>
        <w:jc w:val="both"/>
        <w:rPr/>
      </w:pPr>
      <w:r>
        <w:rPr>
          <w:rFonts w:ascii="Calibri" w:hAnsi="Calibri"/>
          <w:sz w:val="20"/>
          <w:szCs w:val="18"/>
        </w:rPr>
        <w:t xml:space="preserve">Que provenga de causas sísmicas, comúnmente denominadas terremotos o temblor; </w:t>
      </w:r>
    </w:p>
    <w:p>
      <w:pPr>
        <w:pStyle w:val="CM3"/>
        <w:numPr>
          <w:ilvl w:val="0"/>
          <w:numId w:val="1"/>
        </w:numPr>
        <w:tabs>
          <w:tab w:val="clear" w:pos="720"/>
          <w:tab w:val="left" w:pos="8880" w:leader="none"/>
        </w:tabs>
        <w:bidi w:val="0"/>
        <w:spacing w:lineRule="atLeast" w:line="203"/>
        <w:ind w:left="1238" w:right="-51" w:hanging="360"/>
        <w:jc w:val="both"/>
        <w:rPr/>
      </w:pPr>
      <w:r>
        <w:rPr>
          <w:rFonts w:ascii="Calibri" w:hAnsi="Calibri"/>
          <w:sz w:val="20"/>
          <w:szCs w:val="18"/>
        </w:rPr>
        <w:t>Que la pérdida o daño provenga de trabajos efectuados en el mismo bien asegurado, sea por el propietario o por quien tenga el objeto asegurado;</w:t>
      </w:r>
    </w:p>
    <w:p>
      <w:pPr>
        <w:pStyle w:val="CM3"/>
        <w:numPr>
          <w:ilvl w:val="0"/>
          <w:numId w:val="1"/>
        </w:numPr>
        <w:tabs>
          <w:tab w:val="clear" w:pos="720"/>
          <w:tab w:val="left" w:pos="8880" w:leader="none"/>
        </w:tabs>
        <w:bidi w:val="0"/>
        <w:spacing w:lineRule="atLeast" w:line="203"/>
        <w:ind w:left="1238" w:right="-51" w:hanging="360"/>
        <w:jc w:val="both"/>
        <w:rPr/>
      </w:pPr>
      <w:r>
        <w:rPr>
          <w:rFonts w:ascii="Calibri" w:hAnsi="Calibri"/>
          <w:sz w:val="20"/>
          <w:szCs w:val="18"/>
        </w:rPr>
        <w:t>Que provenga, directa o indirectamente, de explosiones, incendios, o por cualquier causa externa y ajena al hundimiento por infiltración del agua o subida del nivel freático;</w:t>
      </w:r>
    </w:p>
    <w:p>
      <w:pPr>
        <w:pStyle w:val="CM3"/>
        <w:numPr>
          <w:ilvl w:val="0"/>
          <w:numId w:val="1"/>
        </w:numPr>
        <w:tabs>
          <w:tab w:val="clear" w:pos="720"/>
          <w:tab w:val="left" w:pos="8880" w:leader="none"/>
        </w:tabs>
        <w:bidi w:val="0"/>
        <w:spacing w:lineRule="atLeast" w:line="203"/>
        <w:ind w:left="1238" w:right="-51" w:hanging="360"/>
        <w:jc w:val="both"/>
        <w:rPr/>
      </w:pPr>
      <w:r>
        <w:rPr>
          <w:rFonts w:ascii="Calibri" w:hAnsi="Calibri"/>
          <w:sz w:val="20"/>
          <w:szCs w:val="18"/>
        </w:rPr>
        <w:t xml:space="preserve">Que la pérdida o daño sea permanente, directa o indirectamente, de mala construcción o por falta de conservación o cuidado en los objetos del seguro; </w:t>
      </w:r>
    </w:p>
    <w:p>
      <w:pPr>
        <w:pStyle w:val="CM3"/>
        <w:numPr>
          <w:ilvl w:val="0"/>
          <w:numId w:val="1"/>
        </w:numPr>
        <w:tabs>
          <w:tab w:val="clear" w:pos="720"/>
          <w:tab w:val="left" w:pos="8880" w:leader="none"/>
        </w:tabs>
        <w:bidi w:val="0"/>
        <w:spacing w:lineRule="atLeast" w:line="203"/>
        <w:ind w:left="1238" w:right="-51" w:hanging="360"/>
        <w:jc w:val="both"/>
        <w:rPr/>
      </w:pPr>
      <w:r>
        <w:rPr>
          <w:rFonts w:ascii="Calibri" w:hAnsi="Calibri"/>
          <w:sz w:val="20"/>
          <w:szCs w:val="18"/>
        </w:rPr>
        <w:t xml:space="preserve">Que provengan por causas de guerra interna o internacional o cualquier otro género de hostilidades </w:t>
      </w:r>
      <w:r>
        <w:rPr>
          <w:rFonts w:cs="Arial" w:ascii="Calibri" w:hAnsi="Calibri"/>
          <w:spacing w:val="-2"/>
          <w:sz w:val="20"/>
          <w:szCs w:val="18"/>
        </w:rPr>
        <w:t>y/o terrorismo</w:t>
      </w:r>
      <w:r>
        <w:rPr>
          <w:rFonts w:ascii="Calibri" w:hAnsi="Calibri"/>
          <w:sz w:val="20"/>
          <w:szCs w:val="18"/>
        </w:rPr>
        <w:t>;</w:t>
      </w:r>
    </w:p>
    <w:p>
      <w:pPr>
        <w:pStyle w:val="CM3"/>
        <w:numPr>
          <w:ilvl w:val="0"/>
          <w:numId w:val="1"/>
        </w:numPr>
        <w:tabs>
          <w:tab w:val="clear" w:pos="720"/>
          <w:tab w:val="left" w:pos="8880" w:leader="none"/>
        </w:tabs>
        <w:bidi w:val="0"/>
        <w:spacing w:lineRule="atLeast" w:line="203"/>
        <w:ind w:left="1238" w:right="-51" w:hanging="360"/>
        <w:jc w:val="both"/>
        <w:rPr/>
      </w:pPr>
      <w:r>
        <w:rPr>
          <w:rFonts w:ascii="Calibri" w:hAnsi="Calibri"/>
          <w:sz w:val="20"/>
          <w:szCs w:val="18"/>
        </w:rPr>
        <w:t>Tampoco comprende el presente anexo al Lucro Cesante que pudiera ocasionarse como consecuencia del daño o pérdida.</w:t>
      </w:r>
    </w:p>
    <w:p>
      <w:pPr>
        <w:pStyle w:val="Default"/>
        <w:bidi w:val="0"/>
        <w:ind w:left="0" w:right="0" w:hanging="0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Default"/>
        <w:bidi w:val="0"/>
        <w:ind w:left="0" w:right="0" w:hanging="0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ind w:left="0" w:right="44" w:hanging="0"/>
        <w:jc w:val="center"/>
        <w:rPr>
          <w:lang w:val="es-ES_tradnl"/>
        </w:rPr>
      </w:pPr>
      <w:r>
        <w:rPr>
          <w:rFonts w:ascii="Calibri" w:hAnsi="Calibri"/>
          <w:b/>
          <w:sz w:val="20"/>
          <w:szCs w:val="18"/>
          <w:lang w:val="es-ES_tradnl"/>
        </w:rPr>
        <w:t xml:space="preserve"> “</w:t>
      </w:r>
      <w:r>
        <w:rPr>
          <w:rFonts w:ascii="Calibri" w:hAnsi="Calibri"/>
          <w:b/>
          <w:sz w:val="20"/>
          <w:szCs w:val="18"/>
          <w:lang w:val="es-ES_tradnl"/>
        </w:rPr>
        <w:t>NACIONAL SEGUROS PATRIMONIALES Y FIANZAS S.A.”</w:t>
      </w:r>
    </w:p>
    <w:p>
      <w:pPr>
        <w:pStyle w:val="CM1"/>
        <w:bidi w:val="0"/>
        <w:spacing w:before="0" w:after="148"/>
        <w:ind w:left="0" w:right="0" w:hanging="0"/>
        <w:jc w:val="center"/>
        <w:rPr/>
      </w:pPr>
      <w:r>
        <w:rPr/>
      </w:r>
    </w:p>
    <w:sectPr>
      <w:type w:val="nextPage"/>
      <w:pgSz w:w="11920" w:h="16838"/>
      <w:pgMar w:left="1600" w:right="1440" w:gutter="0" w:header="0" w:top="993" w:footer="0" w:bottom="1420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238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5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7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39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1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3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55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7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98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alibri" w:cs="Times New Roman"/>
      <w:color w:val="auto"/>
      <w:kern w:val="2"/>
      <w:sz w:val="24"/>
      <w:szCs w:val="24"/>
      <w:lang w:val="es-ES" w:eastAsia="es-ES" w:bidi="ar-SA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Times New Roman" w:hAnsi="Times New Roman" w:eastAsia="Calibri" w:cs="Times New Roman"/>
      <w:color w:val="auto"/>
      <w:kern w:val="2"/>
      <w:sz w:val="22"/>
      <w:szCs w:val="22"/>
      <w:lang w:val="es-BO" w:eastAsia="es-BO" w:bidi="ar-SA"/>
    </w:rPr>
  </w:style>
  <w:style w:type="paragraph" w:styleId="Default">
    <w:name w:val="Default"/>
    <w:qFormat/>
    <w:pPr>
      <w:widowControl w:val="false"/>
      <w:bidi w:val="0"/>
      <w:jc w:val="left"/>
      <w:textAlignment w:val="auto"/>
    </w:pPr>
    <w:rPr>
      <w:rFonts w:ascii="Trebuchet MS" w:hAnsi="Trebuchet MS" w:eastAsia="Calibri" w:cs="Trebuchet MS"/>
      <w:color w:val="000000"/>
      <w:kern w:val="2"/>
      <w:sz w:val="24"/>
      <w:szCs w:val="24"/>
      <w:lang w:val="es-ES" w:eastAsia="es-ES" w:bidi="ar-SA"/>
    </w:rPr>
  </w:style>
  <w:style w:type="paragraph" w:styleId="CM1">
    <w:name w:val="CM1"/>
    <w:basedOn w:val="Default"/>
    <w:next w:val="Default"/>
    <w:qFormat/>
    <w:pPr>
      <w:widowControl w:val="false"/>
    </w:pPr>
    <w:rPr>
      <w:rFonts w:ascii="Trebuchet MS" w:hAnsi="Trebuchet MS" w:cs="Trebuchet MS"/>
    </w:rPr>
  </w:style>
  <w:style w:type="paragraph" w:styleId="CM3">
    <w:name w:val="CM3"/>
    <w:basedOn w:val="Default"/>
    <w:next w:val="Default"/>
    <w:qFormat/>
    <w:pPr>
      <w:widowControl w:val="false"/>
      <w:spacing w:before="0" w:after="210"/>
    </w:pPr>
    <w:rPr>
      <w:rFonts w:ascii="Trebuchet MS" w:hAnsi="Trebuchet MS" w:cs="Trebuchet MS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99</Pages>
  <Words>236</Words>
  <Characters>1533</Characters>
  <CharactersWithSpaces>1300</CharactersWithSpaces>
  <Company>Tcorp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2007-12-04T15:14:00Z</dcterms:created>
  <dc:creator>vnuytens</dc:creator>
  <dc:description/>
  <dc:language>en-US</dc:language>
  <cp:lastModifiedBy/>
  <cp:lastPrinted>2017-10-06T10:15:00Z</cp:lastPrinted>
  <dcterms:modified xsi:type="dcterms:W3CDTF">2017-10-06T12:18:00Z</dcterms:modified>
  <cp:revision>18</cp:revision>
  <dc:subject/>
  <dc:title>HUNDIMIENTO Y ASENTAMIENTO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Mijail Alejandro Guzman Vedia</vt:lpwstr>
  </property>
</Properties>
</file>