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CLAUSULA DE VALOR DE MERCADO PARA ACTIVOS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2950   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APS/DS/No.782/2020 DE FECHA 13 DE AGOSTO DE 2020</w:t>
      </w:r>
    </w:p>
    <w:p>
      <w:pPr>
        <w:pStyle w:val="Normal"/>
        <w:keepNext w:val="true"/>
        <w:numPr>
          <w:ilvl w:val="0"/>
          <w:numId w:val="0"/>
        </w:numPr>
        <w:jc w:val="both"/>
        <w:outlineLvl w:val="0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  <w:u w:val="single"/>
          <w:lang w:val="es-BO"/>
        </w:rPr>
      </w:pPr>
      <w:r>
        <w:rPr>
          <w:rFonts w:cs="Trebuchet MS" w:ascii="Trebuchet MS" w:hAnsi="Trebuchet MS"/>
          <w:b/>
          <w:sz w:val="18"/>
          <w:szCs w:val="18"/>
          <w:u w:val="single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  <w:u w:val="single"/>
          <w:lang w:val="es-BO"/>
        </w:rPr>
      </w:pPr>
      <w:r>
        <w:rPr>
          <w:rFonts w:cs="Trebuchet MS" w:ascii="Trebuchet MS" w:hAnsi="Trebuchet MS"/>
          <w:b/>
          <w:sz w:val="18"/>
          <w:szCs w:val="18"/>
          <w:u w:val="single"/>
          <w:lang w:val="es-BO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</w:rPr>
        <w:t>En caso de siniestro, la Compañía indemnizara los activos siniestrados, según el valor del mercado al momento del siniestro.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rPr>
          <w:rFonts w:ascii="Trebuchet MS" w:hAnsi="Trebuchet MS" w:cs="Arial"/>
          <w:sz w:val="18"/>
          <w:szCs w:val="18"/>
          <w:lang w:val="es-ES_tradnl"/>
        </w:rPr>
      </w:pPr>
      <w:r>
        <w:rPr>
          <w:rFonts w:cs="Arial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2020-08-17T19:04:00Z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2020-08-17T19:04:00Z</dcterms:modified>
  <cp:revision>2</cp:revision>
  <dc:subject/>
  <dc:title/>
</cp:coreProperties>
</file>