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lang w:val="es-BO"/>
        </w:rPr>
      </w:pPr>
      <w:r>
        <w:rPr>
          <w:rFonts w:cs="Arial Black" w:ascii="Arial Black" w:hAnsi="Arial Black"/>
          <w:lang w:val="es-BO"/>
        </w:rPr>
      </w:r>
    </w:p>
    <w:p>
      <w:pPr>
        <w:pStyle w:val="Normal"/>
        <w:rPr>
          <w:rFonts w:ascii="Arial Black" w:hAnsi="Arial Black" w:cs="Arial Black"/>
          <w:lang w:val="es-BO"/>
        </w:rPr>
      </w:pPr>
      <w:r>
        <w:rPr>
          <w:rFonts w:cs="Arial Black" w:ascii="Arial Black" w:hAnsi="Arial Black"/>
          <w:lang w:val="es-BO"/>
        </w:rPr>
      </w:r>
    </w:p>
    <w:p>
      <w:pPr>
        <w:pStyle w:val="Normal"/>
        <w:rPr>
          <w:rFonts w:ascii="Arial Black" w:hAnsi="Arial Black" w:cs="Arial Black"/>
          <w:lang w:val="es-BO"/>
        </w:rPr>
      </w:pPr>
      <w:r>
        <w:rPr>
          <w:rFonts w:cs="Arial Black" w:ascii="Arial Black" w:hAnsi="Arial Black"/>
          <w:lang w:val="es-BO"/>
        </w:rPr>
      </w:r>
    </w:p>
    <w:p>
      <w:pPr>
        <w:pStyle w:val="Normal"/>
        <w:rPr/>
      </w:pPr>
      <w:r>
        <w:rPr>
          <w:rFonts w:eastAsia="Arial Black" w:cs="Arial Black" w:ascii="Arial Black" w:hAnsi="Arial Black"/>
          <w:lang w:val="es-BO"/>
        </w:rPr>
        <w:t xml:space="preserve">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ab/>
        <w:t xml:space="preserve">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INCLUSIONES Y EXCLUSIONES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06 001-2023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oindependiente2"/>
        <w:rPr>
          <w:rFonts w:ascii="Trebuchet MS;Trebuchet MS" w:hAnsi="Trebuchet MS;Trebuchet MS" w:cs="Trebuchet MS;Trebuchet MS"/>
          <w:b/>
          <w:b/>
          <w:b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pacing w:val="-2"/>
          <w:sz w:val="18"/>
          <w:szCs w:val="18"/>
          <w:lang w:val="es-BO"/>
        </w:rPr>
      </w:r>
    </w:p>
    <w:p>
      <w:pPr>
        <w:pStyle w:val="Textoindependiente2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u w:val="single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u w:val="single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La  cobertura  otorgada  por  la  presente  Póliza  se  extenderá  automáticamente  a  incluir, mediante el pago de una prima adicional calculada a prorrata, bienes añadidos durante la vigencia de esta Póliza, siempre y cuando tales bienes sean de propiedad del Asegurado.  El Asegurado debe notificar las inclusiones que serán realizadas antes que los bienes estén bajo su responsabilidad y en cualquier caso no después de 15 (quince) días desde recibidos e incorporados en sus instalaciones.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Asimismo, se deja claramente establecido que de acuerdo al cálculo a prorrata de la prima neta se podrán excluir los bienes asegurados dentro de la Póliza en vigencia.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BO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lang w:val="es-MX"/>
        </w:rPr>
      </w:pPr>
      <w:r>
        <w:rPr>
          <w:rFonts w:cs="Trebuchet MS;Trebuchet MS" w:ascii="Trebuchet MS;Trebuchet MS" w:hAnsi="Trebuchet MS;Trebuchet MS"/>
          <w:b/>
          <w:bCs/>
          <w:lang w:val="es-MX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s-BO"/>
      </w:rPr>
    </w:pPr>
    <w:r>
      <w:rPr>
        <w:lang w:val="es-BO"/>
      </w:rPr>
      <w:t>|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jc w:val="both"/>
    </w:pPr>
    <w:rPr>
      <w:sz w:val="24"/>
      <w:szCs w:val="24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2007-06-28T05:05:00Z</dcterms:created>
  <dc:creator>vivian</dc:creator>
  <dc:description/>
  <cp:keywords/>
  <dc:language>en-US</dc:language>
  <cp:lastModifiedBy>Mayra Salek Pedraza</cp:lastModifiedBy>
  <cp:lastPrinted>2018-11-14T18:42:00Z</cp:lastPrinted>
  <dcterms:modified xsi:type="dcterms:W3CDTF">2018-11-14T18:55:00Z</dcterms:modified>
  <cp:revision>10</cp:revision>
  <dc:subject/>
  <dc:title>INCLUSIONES Y EXCLUSIONES</dc:title>
</cp:coreProperties>
</file>