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right" w:pos="9360" w:leader="none"/>
        </w:tabs>
        <w:suppressAutoHyphens w:val="true"/>
        <w:jc w:val="center"/>
        <w:rPr>
          <w:rFonts w:ascii="Trebuchet MS;Trebuchet MS" w:hAnsi="Trebuchet MS;Trebuchet MS" w:cs="Arial"/>
          <w:b/>
          <w:b/>
          <w:sz w:val="18"/>
          <w:szCs w:val="18"/>
          <w:lang w:val="es-BO"/>
        </w:rPr>
      </w:pPr>
      <w:r>
        <w:rPr>
          <w:rFonts w:cs="Arial" w:ascii="Trebuchet MS;Trebuchet MS" w:hAnsi="Trebuchet MS;Trebuchet MS"/>
          <w:b/>
          <w:sz w:val="18"/>
          <w:szCs w:val="18"/>
          <w:lang w:val="es-BO"/>
        </w:rPr>
        <w:t>PÓLIZA DE SEGURO DE TODO RIESGO DE DAÑOS A LA PROPIEDAD</w:t>
      </w:r>
    </w:p>
    <w:p>
      <w:pPr>
        <w:pStyle w:val="Normal"/>
        <w:jc w:val="center"/>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t>Código Asignado 115-910101-2007 06 001</w:t>
      </w:r>
    </w:p>
    <w:p>
      <w:pPr>
        <w:pStyle w:val="Normal"/>
        <w:jc w:val="center"/>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t>RESOLUCIÓN ADMINISTRATIVA /SPVS/IS/No. 577 de fecha 18 de Julio de 2007</w:t>
      </w:r>
    </w:p>
    <w:p>
      <w:pPr>
        <w:pStyle w:val="Normal"/>
        <w:jc w:val="center"/>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r>
    </w:p>
    <w:p>
      <w:pPr>
        <w:pStyle w:val="Normal"/>
        <w:jc w:val="center"/>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r>
    </w:p>
    <w:p>
      <w:pPr>
        <w:pStyle w:val="Normal"/>
        <w:jc w:val="center"/>
        <w:rPr/>
      </w:pPr>
      <w:r>
        <w:rPr>
          <w:rFonts w:cs="Trebuchet MS;Trebuchet MS" w:ascii="Trebuchet MS;Trebuchet MS" w:hAnsi="Trebuchet MS;Trebuchet MS"/>
          <w:b/>
          <w:sz w:val="18"/>
          <w:szCs w:val="18"/>
        </w:rPr>
        <w:t>CLAUSULA PARA CUBRIR DAÑOS MATERIALES, INCLUYENDO LOS DE INCENDIO, OCASIONADOS POR         TERREMOTO, TEMBLOR, ERUPCION VOLCANICA Y/O FUEGO SUBTERRANEO</w:t>
      </w:r>
    </w:p>
    <w:p>
      <w:pPr>
        <w:pStyle w:val="Normal"/>
        <w:jc w:val="center"/>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t>Código Asignado 115-910101-2007 06 001-2594</w:t>
      </w:r>
    </w:p>
    <w:p>
      <w:pPr>
        <w:pStyle w:val="Normal"/>
        <w:jc w:val="center"/>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t>RESOLUCIÓN ADMINISTRATIVA /SPVS/IS/No. 577-2007 de fecha 18 de julio de 2007</w:t>
      </w:r>
    </w:p>
    <w:p>
      <w:pPr>
        <w:pStyle w:val="Normal"/>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r>
    </w:p>
    <w:p>
      <w:pPr>
        <w:pStyle w:val="Normal"/>
        <w:jc w:val="both"/>
        <w:rPr>
          <w:rFonts w:ascii="Arial" w:hAnsi="Arial" w:cs="Arial"/>
          <w:spacing w:val="-2"/>
          <w:sz w:val="18"/>
          <w:szCs w:val="18"/>
          <w:lang w:val="es-BO"/>
        </w:rPr>
      </w:pPr>
      <w:r>
        <w:rPr>
          <w:rFonts w:cs="Arial" w:ascii="Arial" w:hAnsi="Arial"/>
          <w:spacing w:val="-2"/>
          <w:sz w:val="18"/>
          <w:szCs w:val="18"/>
          <w:lang w:val="es-BO"/>
        </w:rPr>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En consideración al pago de la prima adicional correspondiente, queda convenido y declarado que, no obstante lo que se diga en contrario en las Condiciones Generales de la Póliza, ésta se extiende a cubrir pérdidas o daños, incluyendo los ocurridos por incendio, a los bienes descritos y hasta por los valores asegurados establecidos en la misma, ocasionados directamente por Terremoto, Temblor, Erupción Volcánica y/o Fuego Subterráneo.</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Los daños cubiertos por esta Cláusula que hayan sido ocasionados por algún Terremoto, Temblor,  Erupción Volcánica y/o Fuego Subterráneo, darán origen a una reclamación separada por cada uno de estos fenómenos. Sin embargo, si varios de éstos ocurren dentro de cualquier período de 72 horas consecutivas, se considerarán como un solo siniestro y los daños que causen deberán ser comprendidos en una sola reclamación.</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tabs>
          <w:tab w:val="clear" w:pos="708"/>
          <w:tab w:val="left" w:pos="720" w:leader="none"/>
        </w:tabs>
        <w:jc w:val="both"/>
        <w:rPr>
          <w:rFonts w:ascii="Trebuchet MS;Trebuchet MS" w:hAnsi="Trebuchet MS;Trebuchet MS" w:cs="Arial"/>
          <w:b/>
          <w:b/>
          <w:spacing w:val="-2"/>
          <w:sz w:val="18"/>
          <w:szCs w:val="18"/>
        </w:rPr>
      </w:pPr>
      <w:r>
        <w:rPr>
          <w:rFonts w:cs="Arial" w:ascii="Trebuchet MS;Trebuchet MS" w:hAnsi="Trebuchet MS;Trebuchet MS"/>
          <w:b/>
          <w:spacing w:val="-2"/>
          <w:sz w:val="18"/>
          <w:szCs w:val="18"/>
        </w:rPr>
        <w:t>Exclusiones</w:t>
      </w:r>
    </w:p>
    <w:p>
      <w:pPr>
        <w:pStyle w:val="Normal"/>
        <w:jc w:val="both"/>
        <w:rPr>
          <w:rFonts w:ascii="Trebuchet MS;Trebuchet MS" w:hAnsi="Trebuchet MS;Trebuchet MS" w:cs="Arial"/>
          <w:b/>
          <w:b/>
          <w:spacing w:val="-2"/>
          <w:sz w:val="18"/>
          <w:szCs w:val="18"/>
        </w:rPr>
      </w:pPr>
      <w:r>
        <w:rPr>
          <w:rFonts w:cs="Arial" w:ascii="Trebuchet MS;Trebuchet MS" w:hAnsi="Trebuchet MS;Trebuchet MS"/>
          <w:b/>
          <w:spacing w:val="-2"/>
          <w:sz w:val="18"/>
          <w:szCs w:val="18"/>
        </w:rPr>
      </w:r>
    </w:p>
    <w:p>
      <w:pPr>
        <w:pStyle w:val="Normal"/>
        <w:tabs>
          <w:tab w:val="clear" w:pos="708"/>
          <w:tab w:val="left" w:pos="720" w:leader="none"/>
        </w:tabs>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El Seguro otorgado bajo esta Cláusula no cubre:</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numPr>
          <w:ilvl w:val="0"/>
          <w:numId w:val="3"/>
        </w:numPr>
        <w:tabs>
          <w:tab w:val="clear" w:pos="708"/>
          <w:tab w:val="left" w:pos="2160" w:leader="none"/>
          <w:tab w:val="left" w:pos="2880" w:leader="none"/>
        </w:tabs>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El costo de reemplazar cualquier clase de frescos, murales o esculturas que forman parte del edificio o edificios o construcciones aseguradas, a menos que su valor haya sido declarado y asegurado separadamente.</w:t>
      </w:r>
    </w:p>
    <w:p>
      <w:pPr>
        <w:pStyle w:val="Normal"/>
        <w:tabs>
          <w:tab w:val="clear" w:pos="708"/>
          <w:tab w:val="left" w:pos="2160" w:leader="none"/>
          <w:tab w:val="left" w:pos="2880" w:leader="none"/>
        </w:tabs>
        <w:ind w:left="360" w:hanging="0"/>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numPr>
          <w:ilvl w:val="0"/>
          <w:numId w:val="3"/>
        </w:numPr>
        <w:tabs>
          <w:tab w:val="clear" w:pos="708"/>
          <w:tab w:val="left" w:pos="2160" w:leader="none"/>
          <w:tab w:val="left" w:pos="2880" w:leader="none"/>
        </w:tabs>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El costo adicional necesario para cumplir con cualquier reglamento o ley que norme la construcción o reparación de edificios, cuando dicho costo constituya un monto en exceso del que hubiera sido necesario pagar para reponer los edificios al mismo estado en que se encontraban inmediatamente antes del siniestro.</w:t>
      </w:r>
    </w:p>
    <w:p>
      <w:pPr>
        <w:pStyle w:val="Normal"/>
        <w:tabs>
          <w:tab w:val="clear" w:pos="708"/>
          <w:tab w:val="left" w:pos="2160" w:leader="none"/>
          <w:tab w:val="left" w:pos="2880" w:leader="none"/>
        </w:tabs>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numPr>
          <w:ilvl w:val="0"/>
          <w:numId w:val="3"/>
        </w:numPr>
        <w:tabs>
          <w:tab w:val="clear" w:pos="708"/>
          <w:tab w:val="left" w:pos="1440" w:leader="none"/>
          <w:tab w:val="left" w:pos="2160" w:leader="none"/>
        </w:tabs>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Pérdidas o daños indirectos o consecuenciales de cualquier tipo.</w:t>
      </w:r>
    </w:p>
    <w:p>
      <w:pPr>
        <w:pStyle w:val="Normal"/>
        <w:tabs>
          <w:tab w:val="clear" w:pos="708"/>
          <w:tab w:val="left" w:pos="1440" w:leader="none"/>
          <w:tab w:val="left" w:pos="2160" w:leader="none"/>
        </w:tabs>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numPr>
          <w:ilvl w:val="0"/>
          <w:numId w:val="3"/>
        </w:numPr>
        <w:tabs>
          <w:tab w:val="clear" w:pos="708"/>
          <w:tab w:val="left" w:pos="2140" w:leader="none"/>
          <w:tab w:val="left" w:pos="2860" w:leader="none"/>
        </w:tabs>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Pérdidas o daños causados por vibraciones o movimientos naturales del subsuelo que sean ajenos al Terremoto, Temblor, Erupción Volcánica y/o Fuego Subterráneo, tales como hundimientos, desplazamientos y asentamientos, que afecten la propiedad asegurada.</w:t>
      </w:r>
    </w:p>
    <w:p>
      <w:pPr>
        <w:pStyle w:val="Normal"/>
        <w:tabs>
          <w:tab w:val="clear" w:pos="708"/>
          <w:tab w:val="left" w:pos="2140" w:leader="none"/>
          <w:tab w:val="left" w:pos="2860" w:leader="none"/>
        </w:tabs>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numPr>
          <w:ilvl w:val="0"/>
          <w:numId w:val="3"/>
        </w:numPr>
        <w:tabs>
          <w:tab w:val="clear" w:pos="708"/>
          <w:tab w:val="left" w:pos="1440" w:leader="none"/>
          <w:tab w:val="left" w:pos="2160" w:leader="none"/>
        </w:tabs>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 xml:space="preserve">Pérdidas o daños causados en pozos petroleros y minas de </w:t>
        <w:tab/>
        <w:t>carbón.</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tabs>
          <w:tab w:val="clear" w:pos="708"/>
          <w:tab w:val="left" w:pos="720" w:leader="none"/>
        </w:tabs>
        <w:jc w:val="both"/>
        <w:rPr>
          <w:rFonts w:ascii="Trebuchet MS;Trebuchet MS" w:hAnsi="Trebuchet MS;Trebuchet MS" w:cs="Arial"/>
          <w:b/>
          <w:b/>
          <w:spacing w:val="-2"/>
          <w:sz w:val="18"/>
          <w:szCs w:val="18"/>
        </w:rPr>
      </w:pPr>
      <w:r>
        <w:rPr>
          <w:rFonts w:cs="Arial" w:ascii="Trebuchet MS;Trebuchet MS" w:hAnsi="Trebuchet MS;Trebuchet MS"/>
          <w:b/>
          <w:spacing w:val="-2"/>
          <w:sz w:val="18"/>
          <w:szCs w:val="18"/>
        </w:rPr>
        <w:t>Estipulaciones Generales.</w:t>
      </w:r>
    </w:p>
    <w:p>
      <w:pPr>
        <w:pStyle w:val="Normal"/>
        <w:jc w:val="both"/>
        <w:rPr>
          <w:rFonts w:ascii="Trebuchet MS;Trebuchet MS" w:hAnsi="Trebuchet MS;Trebuchet MS" w:cs="Arial"/>
          <w:b/>
          <w:b/>
          <w:spacing w:val="-2"/>
          <w:sz w:val="18"/>
          <w:szCs w:val="18"/>
        </w:rPr>
      </w:pPr>
      <w:r>
        <w:rPr>
          <w:rFonts w:cs="Arial" w:ascii="Trebuchet MS;Trebuchet MS" w:hAnsi="Trebuchet MS;Trebuchet MS"/>
          <w:b/>
          <w:spacing w:val="-2"/>
          <w:sz w:val="18"/>
          <w:szCs w:val="18"/>
        </w:rPr>
      </w:r>
    </w:p>
    <w:p>
      <w:pPr>
        <w:pStyle w:val="Normal"/>
        <w:numPr>
          <w:ilvl w:val="0"/>
          <w:numId w:val="2"/>
        </w:numPr>
        <w:tabs>
          <w:tab w:val="clear" w:pos="708"/>
          <w:tab w:val="left" w:pos="2120" w:leader="none"/>
          <w:tab w:val="left" w:pos="2840" w:leader="none"/>
        </w:tabs>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 xml:space="preserve">Todas las condiciones de esta Póliza se aplicarán por todo concepto al Seguro concedido por esta Cláusula, salvo en cuanto se hallen modificadas expresamente por las Condiciones Especiales de ésta. </w:t>
      </w:r>
    </w:p>
    <w:p>
      <w:pPr>
        <w:pStyle w:val="Normal"/>
        <w:numPr>
          <w:ilvl w:val="0"/>
          <w:numId w:val="2"/>
        </w:numPr>
        <w:tabs>
          <w:tab w:val="clear" w:pos="708"/>
          <w:tab w:val="left" w:pos="2120" w:leader="none"/>
          <w:tab w:val="left" w:pos="2840" w:leader="none"/>
        </w:tabs>
        <w:suppressAutoHyphens w:val="true"/>
        <w:jc w:val="both"/>
        <w:rPr>
          <w:rFonts w:ascii="Trebuchet MS;Trebuchet MS" w:hAnsi="Trebuchet MS;Trebuchet MS"/>
          <w:spacing w:val="-2"/>
          <w:sz w:val="18"/>
          <w:szCs w:val="18"/>
        </w:rPr>
      </w:pPr>
      <w:r>
        <w:rPr>
          <w:rFonts w:eastAsia="Trebuchet MS;Trebuchet MS" w:cs="Trebuchet MS;Trebuchet MS" w:ascii="Trebuchet MS;Trebuchet MS" w:hAnsi="Trebuchet MS;Trebuchet MS"/>
          <w:spacing w:val="-2"/>
          <w:sz w:val="18"/>
          <w:szCs w:val="18"/>
        </w:rPr>
        <w:t xml:space="preserve"> </w:t>
      </w:r>
      <w:r>
        <w:rPr>
          <w:rFonts w:cs="Arial" w:ascii="Trebuchet MS;Trebuchet MS" w:hAnsi="Trebuchet MS;Trebuchet MS"/>
          <w:spacing w:val="-2"/>
          <w:sz w:val="18"/>
          <w:szCs w:val="18"/>
        </w:rPr>
        <w:t>Cualquier referencia a incendio que se haga en las Condiciones de la Póliza, se considerará que incluye los riesgos cubiertos por la presente Cláusula.</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numPr>
          <w:ilvl w:val="0"/>
          <w:numId w:val="2"/>
        </w:numPr>
        <w:tabs>
          <w:tab w:val="clear" w:pos="708"/>
          <w:tab w:val="left" w:pos="2180" w:leader="none"/>
          <w:tab w:val="left" w:pos="2900" w:leader="none"/>
        </w:tabs>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Las condiciones Especiales de la presente se aplicarán únicamente al Seguro concedido por esta Cláusula y las Condiciones de la Póliza se aplicarán  por todo concepto al Seguro concedido por la  Póliza tal como si ésta Cláusula no hubiese sido agregada a la misma.</w:t>
      </w:r>
    </w:p>
    <w:p>
      <w:pPr>
        <w:pStyle w:val="Normal"/>
        <w:tabs>
          <w:tab w:val="clear" w:pos="708"/>
          <w:tab w:val="left" w:pos="2180" w:leader="none"/>
          <w:tab w:val="left" w:pos="2900" w:leader="none"/>
        </w:tabs>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widowControl w:val="false"/>
        <w:jc w:val="center"/>
        <w:rPr>
          <w:rFonts w:ascii="Trebuchet MS;Trebuchet MS" w:hAnsi="Trebuchet MS;Trebuchet MS" w:cs="Trebuchet MS;Trebuchet MS"/>
          <w:b/>
          <w:b/>
          <w:spacing w:val="-2"/>
          <w:sz w:val="18"/>
          <w:szCs w:val="18"/>
        </w:rPr>
      </w:pPr>
      <w:r>
        <w:rPr>
          <w:rFonts w:cs="Trebuchet MS;Trebuchet MS" w:ascii="Trebuchet MS;Trebuchet MS" w:hAnsi="Trebuchet MS;Trebuchet MS"/>
          <w:b/>
          <w:spacing w:val="-2"/>
          <w:sz w:val="18"/>
          <w:szCs w:val="18"/>
        </w:rPr>
      </w:r>
    </w:p>
    <w:p>
      <w:pPr>
        <w:pStyle w:val="Normal"/>
        <w:widowControl w:val="false"/>
        <w:jc w:val="center"/>
        <w:rPr>
          <w:rFonts w:ascii="Trebuchet MS;Trebuchet MS" w:hAnsi="Trebuchet MS;Trebuchet MS" w:cs="Trebuchet MS;Trebuchet MS"/>
          <w:b/>
          <w:b/>
          <w:sz w:val="18"/>
          <w:szCs w:val="18"/>
          <w:lang w:val="es-BO"/>
        </w:rPr>
      </w:pPr>
      <w:r>
        <w:rPr>
          <w:rFonts w:cs="Trebuchet MS;Trebuchet MS" w:ascii="Trebuchet MS;Trebuchet MS" w:hAnsi="Trebuchet MS;Trebuchet MS"/>
          <w:b/>
          <w:sz w:val="18"/>
          <w:szCs w:val="18"/>
          <w:lang w:val="es-BO"/>
        </w:rPr>
        <w:t>“</w:t>
      </w:r>
      <w:r>
        <w:rPr>
          <w:rFonts w:cs="Trebuchet MS;Trebuchet MS" w:ascii="Trebuchet MS;Trebuchet MS" w:hAnsi="Trebuchet MS;Trebuchet MS"/>
          <w:b/>
          <w:sz w:val="18"/>
          <w:szCs w:val="18"/>
          <w:lang w:val="es-BO"/>
        </w:rPr>
        <w:t>NACIONAL SEGUROS PATRIMONIALES Y FIANZAS S.A.”</w:t>
      </w:r>
    </w:p>
    <w:p>
      <w:pPr>
        <w:pStyle w:val="Normal"/>
        <w:jc w:val="center"/>
        <w:rPr>
          <w:rFonts w:ascii="Trebuchet MS;Trebuchet MS" w:hAnsi="Trebuchet MS;Trebuchet MS" w:cs="Trebuchet MS;Trebuchet MS"/>
          <w:b/>
          <w:b/>
          <w:sz w:val="18"/>
          <w:szCs w:val="18"/>
          <w:lang w:val="es-BO"/>
        </w:rPr>
      </w:pPr>
      <w:r>
        <w:rPr>
          <w:rFonts w:cs="Trebuchet MS;Trebuchet MS" w:ascii="Trebuchet MS;Trebuchet MS" w:hAnsi="Trebuchet MS;Trebuchet MS"/>
          <w:b/>
          <w:sz w:val="18"/>
          <w:szCs w:val="18"/>
          <w:lang w:val="es-BO"/>
        </w:rPr>
      </w:r>
    </w:p>
    <w:sectPr>
      <w:type w:val="nextPage"/>
      <w:pgSz w:w="12240" w:h="15840"/>
      <w:pgMar w:left="1418" w:right="1418" w:gutter="0" w:header="0" w:top="226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StarBats">
    <w:charset w:val="02"/>
    <w:family w:val="auto"/>
    <w:pitch w:val="variable"/>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Arial (W1)">
    <w:charset w:val="00"/>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b/>
      </w:rPr>
    </w:lvl>
  </w:abstractNum>
  <w:abstractNum w:abstractNumId="3">
    <w:lvl w:ilvl="0">
      <w:start w:val="1"/>
      <w:numFmt w:val="decimal"/>
      <w:lvlText w:val="%1."/>
      <w:lvlJc w:val="left"/>
      <w:pPr>
        <w:tabs>
          <w:tab w:val="num" w:pos="720"/>
        </w:tabs>
        <w:ind w:left="720" w:hanging="360"/>
      </w:pPr>
      <w:rPr>
        <w:b/>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jc w:val="center"/>
      <w:outlineLvl w:val="1"/>
    </w:pPr>
    <w:rPr>
      <w:rFonts w:ascii="Arial" w:hAnsi="Arial" w:cs="Arial"/>
      <w:b/>
      <w:sz w:val="16"/>
      <w:lang w:val="es-MX"/>
    </w:rPr>
  </w:style>
  <w:style w:type="paragraph" w:styleId="Heading3">
    <w:name w:val="Heading 3"/>
    <w:basedOn w:val="Normal"/>
    <w:next w:val="Normal"/>
    <w:qFormat/>
    <w:pPr>
      <w:keepNext w:val="true"/>
      <w:numPr>
        <w:ilvl w:val="2"/>
        <w:numId w:val="1"/>
      </w:numPr>
      <w:suppressAutoHyphens w:val="true"/>
      <w:spacing w:before="240" w:after="60"/>
      <w:outlineLvl w:val="2"/>
    </w:pPr>
    <w:rPr>
      <w:rFonts w:ascii="Arial" w:hAnsi="Arial" w:cs="Arial"/>
      <w:b/>
      <w:bCs/>
      <w:sz w:val="26"/>
      <w:szCs w:val="26"/>
      <w:lang w:val="es-CO"/>
    </w:rPr>
  </w:style>
  <w:style w:type="paragraph" w:styleId="Heading5">
    <w:name w:val="Heading 5"/>
    <w:basedOn w:val="Normal"/>
    <w:next w:val="Normal"/>
    <w:qFormat/>
    <w:pPr>
      <w:widowControl w:val="false"/>
      <w:numPr>
        <w:ilvl w:val="4"/>
        <w:numId w:val="1"/>
      </w:numPr>
      <w:suppressAutoHyphens w:val="true"/>
      <w:spacing w:before="240" w:after="60"/>
      <w:outlineLvl w:val="4"/>
    </w:pPr>
    <w:rPr>
      <w:rFonts w:ascii="Courier New" w:hAnsi="Courier New" w:cs="Courier New"/>
      <w:b/>
      <w:bCs/>
      <w:i/>
      <w:iCs/>
      <w:sz w:val="26"/>
      <w:szCs w:val="26"/>
    </w:rPr>
  </w:style>
  <w:style w:type="paragraph" w:styleId="Heading8">
    <w:name w:val="Heading 8"/>
    <w:basedOn w:val="Normal"/>
    <w:next w:val="Normal"/>
    <w:qFormat/>
    <w:pPr>
      <w:numPr>
        <w:ilvl w:val="7"/>
        <w:numId w:val="1"/>
      </w:numPr>
      <w:suppressAutoHyphens w:val="true"/>
      <w:spacing w:before="240" w:after="60"/>
      <w:outlineLvl w:val="7"/>
    </w:pPr>
    <w:rPr>
      <w:i/>
      <w:iCs/>
      <w:sz w:val="24"/>
      <w:szCs w:val="24"/>
      <w:lang w:val="es-CO"/>
    </w:rPr>
  </w:style>
  <w:style w:type="character" w:styleId="WW8Num2z0">
    <w:name w:val="WW8Num2z0"/>
    <w:qFormat/>
    <w:rPr>
      <w:b/>
    </w:rPr>
  </w:style>
  <w:style w:type="character" w:styleId="WW8Num4z0">
    <w:name w:val="WW8Num4z0"/>
    <w:qFormat/>
    <w:rPr>
      <w:b/>
    </w:rPr>
  </w:style>
  <w:style w:type="character" w:styleId="WW8Num6z0">
    <w:name w:val="WW8Num6z0"/>
    <w:qFormat/>
    <w:rPr>
      <w:b/>
    </w:rPr>
  </w:style>
  <w:style w:type="character" w:styleId="WW8Num8z0">
    <w:name w:val="WW8Num8z0"/>
    <w:qFormat/>
    <w:rPr>
      <w:b/>
    </w:rPr>
  </w:style>
  <w:style w:type="character" w:styleId="WW8Num10z0">
    <w:name w:val="WW8Num10z0"/>
    <w:qFormat/>
    <w:rPr>
      <w:b/>
    </w:rPr>
  </w:style>
  <w:style w:type="character" w:styleId="WW8Num11z0">
    <w:name w:val="WW8Num11z0"/>
    <w:qFormat/>
    <w:rPr>
      <w:b/>
    </w:rPr>
  </w:style>
  <w:style w:type="character" w:styleId="WW8Num12z0">
    <w:name w:val="WW8Num12z0"/>
    <w:qFormat/>
    <w:rPr>
      <w:b/>
    </w:rPr>
  </w:style>
  <w:style w:type="character" w:styleId="WW8Num12z1">
    <w:name w:val="WW8Num12z1"/>
    <w:qFormat/>
    <w:rPr>
      <w:rFonts w:ascii="StarBats" w:hAnsi="StarBats" w:cs="StarBats"/>
    </w:rPr>
  </w:style>
  <w:style w:type="character" w:styleId="WW8Num13z0">
    <w:name w:val="WW8Num13z0"/>
    <w:qFormat/>
    <w:rPr>
      <w:b/>
    </w:rPr>
  </w:style>
  <w:style w:type="character" w:styleId="WW8Num14z0">
    <w:name w:val="WW8Num14z0"/>
    <w:qFormat/>
    <w:rPr>
      <w:b/>
    </w:rPr>
  </w:style>
  <w:style w:type="character" w:styleId="WW8Num15z0">
    <w:name w:val="WW8Num15z0"/>
    <w:qFormat/>
    <w:rPr>
      <w:b/>
    </w:rPr>
  </w:style>
  <w:style w:type="character" w:styleId="WW8Num16z0">
    <w:name w:val="WW8Num16z0"/>
    <w:qFormat/>
    <w:rPr>
      <w:b/>
    </w:rPr>
  </w:style>
  <w:style w:type="character" w:styleId="WW8Num17z0">
    <w:name w:val="WW8Num17z0"/>
    <w:qFormat/>
    <w:rPr>
      <w:b/>
    </w:rPr>
  </w:style>
  <w:style w:type="character" w:styleId="WW8Num18z0">
    <w:name w:val="WW8Num18z0"/>
    <w:qFormat/>
    <w:rPr/>
  </w:style>
  <w:style w:type="character" w:styleId="WW8Num19z0">
    <w:name w:val="WW8Num19z0"/>
    <w:qFormat/>
    <w:rPr>
      <w:b/>
    </w:rPr>
  </w:style>
  <w:style w:type="character" w:styleId="WW8Num20z0">
    <w:name w:val="WW8Num20z0"/>
    <w:qFormat/>
    <w:rPr>
      <w:b/>
    </w:rPr>
  </w:style>
  <w:style w:type="character" w:styleId="WW8Num21z0">
    <w:name w:val="WW8Num21z0"/>
    <w:qFormat/>
    <w:rPr>
      <w:b/>
    </w:rPr>
  </w:style>
  <w:style w:type="character" w:styleId="WW8Num22z0">
    <w:name w:val="WW8Num22z0"/>
    <w:qFormat/>
    <w:rPr>
      <w:b/>
    </w:rPr>
  </w:style>
  <w:style w:type="character" w:styleId="WW8Num22z1">
    <w:name w:val="WW8Num22z1"/>
    <w:qFormat/>
    <w:rPr>
      <w:b/>
    </w:rPr>
  </w:style>
  <w:style w:type="character" w:styleId="WW8Num23z0">
    <w:name w:val="WW8Num23z0"/>
    <w:qFormat/>
    <w:rPr>
      <w:b/>
    </w:rPr>
  </w:style>
  <w:style w:type="character" w:styleId="WW8Num24z0">
    <w:name w:val="WW8Num24z0"/>
    <w:qFormat/>
    <w:rPr>
      <w:b/>
    </w:rPr>
  </w:style>
  <w:style w:type="character" w:styleId="WW8Num25z0">
    <w:name w:val="WW8Num25z0"/>
    <w:qFormat/>
    <w:rPr>
      <w:b/>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b/>
    </w:rPr>
  </w:style>
  <w:style w:type="character" w:styleId="WW8Num29z0">
    <w:name w:val="WW8Num29z0"/>
    <w:qFormat/>
    <w:rPr>
      <w:b/>
    </w:rPr>
  </w:style>
  <w:style w:type="character" w:styleId="WW8Num30z0">
    <w:name w:val="WW8Num30z0"/>
    <w:qFormat/>
    <w:rPr>
      <w:b/>
    </w:rPr>
  </w:style>
  <w:style w:type="character" w:styleId="WW8Num31z0">
    <w:name w:val="WW8Num31z0"/>
    <w:qFormat/>
    <w:rPr>
      <w:b/>
    </w:rPr>
  </w:style>
  <w:style w:type="character" w:styleId="WW8Num32z0">
    <w:name w:val="WW8Num32z0"/>
    <w:qFormat/>
    <w:rPr>
      <w:b/>
    </w:rPr>
  </w:style>
  <w:style w:type="character" w:styleId="WW8Num33z0">
    <w:name w:val="WW8Num33z0"/>
    <w:qFormat/>
    <w:rPr>
      <w:b/>
    </w:rPr>
  </w:style>
  <w:style w:type="character" w:styleId="WW8Num34z0">
    <w:name w:val="WW8Num34z0"/>
    <w:qFormat/>
    <w:rPr>
      <w:b/>
    </w:rPr>
  </w:style>
  <w:style w:type="character" w:styleId="WW8Num35z0">
    <w:name w:val="WW8Num35z0"/>
    <w:qFormat/>
    <w:rPr>
      <w:b/>
    </w:rPr>
  </w:style>
  <w:style w:type="character" w:styleId="WW8Num36z0">
    <w:name w:val="WW8Num36z0"/>
    <w:qFormat/>
    <w:rPr>
      <w:b/>
    </w:rPr>
  </w:style>
  <w:style w:type="character" w:styleId="WW8Num38z0">
    <w:name w:val="WW8Num38z0"/>
    <w:qFormat/>
    <w:rPr>
      <w:b/>
    </w:rPr>
  </w:style>
  <w:style w:type="character" w:styleId="WW8Num39z0">
    <w:name w:val="WW8Num39z0"/>
    <w:qFormat/>
    <w:rPr>
      <w:b/>
    </w:rPr>
  </w:style>
  <w:style w:type="character" w:styleId="WW8Num40z0">
    <w:name w:val="WW8Num40z0"/>
    <w:qFormat/>
    <w:rPr>
      <w:b/>
    </w:rPr>
  </w:style>
  <w:style w:type="character" w:styleId="WW8Num41z0">
    <w:name w:val="WW8Num41z0"/>
    <w:qFormat/>
    <w:rPr>
      <w:b/>
    </w:rPr>
  </w:style>
  <w:style w:type="character" w:styleId="WW8Num42z0">
    <w:name w:val="WW8Num42z0"/>
    <w:qFormat/>
    <w:rPr>
      <w:b/>
    </w:rPr>
  </w:style>
  <w:style w:type="character" w:styleId="WW8Num43z0">
    <w:name w:val="WW8Num43z0"/>
    <w:qFormat/>
    <w:rPr>
      <w:b/>
    </w:rPr>
  </w:style>
  <w:style w:type="character" w:styleId="WW8Num44z0">
    <w:name w:val="WW8Num44z0"/>
    <w:qFormat/>
    <w:rPr>
      <w:b/>
    </w:rPr>
  </w:style>
  <w:style w:type="character" w:styleId="WW8Num45z0">
    <w:name w:val="WW8Num45z0"/>
    <w:qFormat/>
    <w:rPr>
      <w:b/>
    </w:rPr>
  </w:style>
  <w:style w:type="character" w:styleId="WW8Num46z0">
    <w:name w:val="WW8Num46z0"/>
    <w:qFormat/>
    <w:rPr>
      <w:b/>
    </w:rPr>
  </w:style>
  <w:style w:type="character" w:styleId="WW8Num47z0">
    <w:name w:val="WW8Num47z0"/>
    <w:qFormat/>
    <w:rPr>
      <w:b/>
    </w:rPr>
  </w:style>
  <w:style w:type="character" w:styleId="WW8Num48z0">
    <w:name w:val="WW8Num48z0"/>
    <w:qFormat/>
    <w:rPr>
      <w:b/>
    </w:rPr>
  </w:style>
  <w:style w:type="character" w:styleId="WW8Num49z0">
    <w:name w:val="WW8Num49z0"/>
    <w:qFormat/>
    <w:rPr>
      <w:b/>
    </w:rPr>
  </w:style>
  <w:style w:type="character" w:styleId="WW8Num50z0">
    <w:name w:val="WW8Num50z0"/>
    <w:qFormat/>
    <w:rPr>
      <w:b/>
    </w:rPr>
  </w:style>
  <w:style w:type="character" w:styleId="WW8Num51z0">
    <w:name w:val="WW8Num51z0"/>
    <w:qFormat/>
    <w:rPr>
      <w:b/>
    </w:rPr>
  </w:style>
  <w:style w:type="character" w:styleId="WW8Num52z0">
    <w:name w:val="WW8Num52z0"/>
    <w:qFormat/>
    <w:rPr>
      <w:b/>
    </w:rPr>
  </w:style>
  <w:style w:type="character" w:styleId="WW8Num53z0">
    <w:name w:val="WW8Num53z0"/>
    <w:qFormat/>
    <w:rPr>
      <w:b/>
    </w:rPr>
  </w:style>
  <w:style w:type="character" w:styleId="WW8Num54z0">
    <w:name w:val="WW8Num54z0"/>
    <w:qFormat/>
    <w:rPr>
      <w:b/>
    </w:rPr>
  </w:style>
  <w:style w:type="character" w:styleId="WW8Num56z0">
    <w:name w:val="WW8Num56z0"/>
    <w:qFormat/>
    <w:rPr>
      <w:b/>
    </w:rPr>
  </w:style>
  <w:style w:type="character" w:styleId="WW8Num57z0">
    <w:name w:val="WW8Num57z0"/>
    <w:qFormat/>
    <w:rPr>
      <w:b/>
    </w:rPr>
  </w:style>
  <w:style w:type="character" w:styleId="WW8Num58z0">
    <w:name w:val="WW8Num58z0"/>
    <w:qFormat/>
    <w:rPr>
      <w:b/>
    </w:rPr>
  </w:style>
  <w:style w:type="character" w:styleId="WW8Num60z0">
    <w:name w:val="WW8Num60z0"/>
    <w:qFormat/>
    <w:rPr>
      <w:b/>
    </w:rPr>
  </w:style>
  <w:style w:type="character" w:styleId="WW8Num61z0">
    <w:name w:val="WW8Num61z0"/>
    <w:qFormat/>
    <w:rPr>
      <w:b/>
    </w:rPr>
  </w:style>
  <w:style w:type="character" w:styleId="WW8Num62z0">
    <w:name w:val="WW8Num62z0"/>
    <w:qFormat/>
    <w:rPr>
      <w:b/>
    </w:rPr>
  </w:style>
  <w:style w:type="character" w:styleId="WW8Num62z2">
    <w:name w:val="WW8Num62z2"/>
    <w:qFormat/>
    <w:rPr>
      <w:b/>
    </w:rPr>
  </w:style>
  <w:style w:type="character" w:styleId="WW8Num63z0">
    <w:name w:val="WW8Num63z0"/>
    <w:qFormat/>
    <w:rPr>
      <w:b/>
    </w:rPr>
  </w:style>
  <w:style w:type="character" w:styleId="WW8Num64z0">
    <w:name w:val="WW8Num64z0"/>
    <w:qFormat/>
    <w:rPr>
      <w:b/>
    </w:rPr>
  </w:style>
  <w:style w:type="character" w:styleId="WW8Num65z0">
    <w:name w:val="WW8Num65z0"/>
    <w:qFormat/>
    <w:rPr>
      <w:b/>
    </w:rPr>
  </w:style>
  <w:style w:type="character" w:styleId="WW8Num66z0">
    <w:name w:val="WW8Num66z0"/>
    <w:qFormat/>
    <w:rPr>
      <w:b/>
    </w:rPr>
  </w:style>
  <w:style w:type="character" w:styleId="WW8Num66z1">
    <w:name w:val="WW8Num66z1"/>
    <w:qFormat/>
    <w:rPr/>
  </w:style>
  <w:style w:type="character" w:styleId="WW8Num67z0">
    <w:name w:val="WW8Num67z0"/>
    <w:qFormat/>
    <w:rPr>
      <w:b/>
    </w:rPr>
  </w:style>
  <w:style w:type="character" w:styleId="WW8Num68z0">
    <w:name w:val="WW8Num68z0"/>
    <w:qFormat/>
    <w:rPr>
      <w:b/>
    </w:rPr>
  </w:style>
  <w:style w:type="character" w:styleId="WW8Num69z0">
    <w:name w:val="WW8Num69z0"/>
    <w:qFormat/>
    <w:rPr>
      <w:b/>
    </w:rPr>
  </w:style>
  <w:style w:type="character" w:styleId="WW8Num70z0">
    <w:name w:val="WW8Num70z0"/>
    <w:qFormat/>
    <w:rPr>
      <w:b/>
    </w:rPr>
  </w:style>
  <w:style w:type="character" w:styleId="WW8Num71z0">
    <w:name w:val="WW8Num71z0"/>
    <w:qFormat/>
    <w:rPr>
      <w:b/>
    </w:rPr>
  </w:style>
  <w:style w:type="character" w:styleId="WW8Num72z0">
    <w:name w:val="WW8Num72z0"/>
    <w:qFormat/>
    <w:rPr>
      <w:b/>
    </w:rPr>
  </w:style>
  <w:style w:type="character" w:styleId="WW8Num73z0">
    <w:name w:val="WW8Num73z0"/>
    <w:qFormat/>
    <w:rPr>
      <w:b/>
    </w:rPr>
  </w:style>
  <w:style w:type="character" w:styleId="WW8Num74z0">
    <w:name w:val="WW8Num74z0"/>
    <w:qFormat/>
    <w:rPr>
      <w:b/>
    </w:rPr>
  </w:style>
  <w:style w:type="character" w:styleId="WW8Num75z0">
    <w:name w:val="WW8Num75z0"/>
    <w:qFormat/>
    <w:rPr>
      <w:b/>
    </w:rPr>
  </w:style>
  <w:style w:type="character" w:styleId="WW8Num76z0">
    <w:name w:val="WW8Num76z0"/>
    <w:qFormat/>
    <w:rPr>
      <w:b/>
    </w:rPr>
  </w:style>
  <w:style w:type="character" w:styleId="WW8Num77z0">
    <w:name w:val="WW8Num77z0"/>
    <w:qFormat/>
    <w:rPr>
      <w:b/>
    </w:rPr>
  </w:style>
  <w:style w:type="character" w:styleId="WW8Num78z0">
    <w:name w:val="WW8Num78z0"/>
    <w:qFormat/>
    <w:rPr>
      <w:b/>
    </w:rPr>
  </w:style>
  <w:style w:type="character" w:styleId="WW8Num79z0">
    <w:name w:val="WW8Num79z0"/>
    <w:qFormat/>
    <w:rPr>
      <w:b/>
    </w:rPr>
  </w:style>
  <w:style w:type="character" w:styleId="WW8Num80z0">
    <w:name w:val="WW8Num80z0"/>
    <w:qFormat/>
    <w:rPr>
      <w:b/>
    </w:rPr>
  </w:style>
  <w:style w:type="character" w:styleId="WW8Num81z0">
    <w:name w:val="WW8Num81z0"/>
    <w:qFormat/>
    <w:rPr>
      <w:b/>
    </w:rPr>
  </w:style>
  <w:style w:type="character" w:styleId="WW8Num82z0">
    <w:name w:val="WW8Num82z0"/>
    <w:qFormat/>
    <w:rPr>
      <w:b/>
    </w:rPr>
  </w:style>
  <w:style w:type="character" w:styleId="WW8Num83z0">
    <w:name w:val="WW8Num83z0"/>
    <w:qFormat/>
    <w:rPr>
      <w:b/>
    </w:rPr>
  </w:style>
  <w:style w:type="character" w:styleId="WW8Num84z0">
    <w:name w:val="WW8Num84z0"/>
    <w:qFormat/>
    <w:rPr>
      <w:b/>
    </w:rPr>
  </w:style>
  <w:style w:type="character" w:styleId="WW8Num85z0">
    <w:name w:val="WW8Num85z0"/>
    <w:qFormat/>
    <w:rPr>
      <w:b/>
    </w:rPr>
  </w:style>
  <w:style w:type="character" w:styleId="WW8Num86z0">
    <w:name w:val="WW8Num86z0"/>
    <w:qFormat/>
    <w:rPr>
      <w:b/>
    </w:rPr>
  </w:style>
  <w:style w:type="character" w:styleId="WW8Num87z0">
    <w:name w:val="WW8Num87z0"/>
    <w:qFormat/>
    <w:rPr>
      <w:b/>
    </w:rPr>
  </w:style>
  <w:style w:type="character" w:styleId="WW8Num88z0">
    <w:name w:val="WW8Num88z0"/>
    <w:qFormat/>
    <w:rPr>
      <w:b/>
    </w:rPr>
  </w:style>
  <w:style w:type="character" w:styleId="WW8Num89z0">
    <w:name w:val="WW8Num89z0"/>
    <w:qFormat/>
    <w:rPr>
      <w:b/>
    </w:rPr>
  </w:style>
  <w:style w:type="character" w:styleId="WW8Num90z0">
    <w:name w:val="WW8Num90z0"/>
    <w:qFormat/>
    <w:rPr>
      <w:b/>
    </w:rPr>
  </w:style>
  <w:style w:type="character" w:styleId="WW8Num91z0">
    <w:name w:val="WW8Num91z0"/>
    <w:qFormat/>
    <w:rPr>
      <w:b/>
    </w:rPr>
  </w:style>
  <w:style w:type="character" w:styleId="WW8Num92z0">
    <w:name w:val="WW8Num92z0"/>
    <w:qFormat/>
    <w:rPr>
      <w:b/>
    </w:rPr>
  </w:style>
  <w:style w:type="character" w:styleId="WW8Num93z0">
    <w:name w:val="WW8Num93z0"/>
    <w:qFormat/>
    <w:rPr>
      <w:b/>
    </w:rPr>
  </w:style>
  <w:style w:type="character" w:styleId="WW8Num94z0">
    <w:name w:val="WW8Num94z0"/>
    <w:qFormat/>
    <w:rPr>
      <w:rFonts w:ascii="Symbol" w:hAnsi="Symbol" w:cs="Symbol"/>
    </w:rPr>
  </w:style>
  <w:style w:type="character" w:styleId="WW8Num94z1">
    <w:name w:val="WW8Num94z1"/>
    <w:qFormat/>
    <w:rPr>
      <w:rFonts w:ascii="Courier New" w:hAnsi="Courier New" w:cs="Courier New"/>
    </w:rPr>
  </w:style>
  <w:style w:type="character" w:styleId="WW8Num94z2">
    <w:name w:val="WW8Num94z2"/>
    <w:qFormat/>
    <w:rPr>
      <w:rFonts w:ascii="Wingdings" w:hAnsi="Wingdings" w:cs="Wingdings"/>
    </w:rPr>
  </w:style>
  <w:style w:type="character" w:styleId="WW8Num95z0">
    <w:name w:val="WW8Num95z0"/>
    <w:qFormat/>
    <w:rPr>
      <w:b/>
    </w:rPr>
  </w:style>
  <w:style w:type="character" w:styleId="WW8Num96z0">
    <w:name w:val="WW8Num96z0"/>
    <w:qFormat/>
    <w:rPr>
      <w:b/>
    </w:rPr>
  </w:style>
  <w:style w:type="character" w:styleId="WW8Num96z2">
    <w:name w:val="WW8Num96z2"/>
    <w:qFormat/>
    <w:rPr>
      <w:rFonts w:ascii="Arial" w:hAnsi="Arial" w:eastAsia="Times New Roman" w:cs="Arial"/>
    </w:rPr>
  </w:style>
  <w:style w:type="character" w:styleId="WW8Num96z3">
    <w:name w:val="WW8Num96z3"/>
    <w:qFormat/>
    <w:rPr>
      <w:b/>
    </w:rPr>
  </w:style>
  <w:style w:type="character" w:styleId="WW8Num97z0">
    <w:name w:val="WW8Num97z0"/>
    <w:qFormat/>
    <w:rPr>
      <w:b/>
    </w:rPr>
  </w:style>
  <w:style w:type="character" w:styleId="WW8Num98z0">
    <w:name w:val="WW8Num98z0"/>
    <w:qFormat/>
    <w:rPr>
      <w:b/>
    </w:rPr>
  </w:style>
  <w:style w:type="character" w:styleId="WW8Num99z0">
    <w:name w:val="WW8Num99z0"/>
    <w:qFormat/>
    <w:rPr>
      <w:b/>
    </w:rPr>
  </w:style>
  <w:style w:type="character" w:styleId="WW8Num100z0">
    <w:name w:val="WW8Num100z0"/>
    <w:qFormat/>
    <w:rPr>
      <w:b/>
    </w:rPr>
  </w:style>
  <w:style w:type="character" w:styleId="WW8Num101z0">
    <w:name w:val="WW8Num101z0"/>
    <w:qFormat/>
    <w:rPr>
      <w:b/>
    </w:rPr>
  </w:style>
  <w:style w:type="character" w:styleId="WW8Num102z0">
    <w:name w:val="WW8Num102z0"/>
    <w:qFormat/>
    <w:rPr>
      <w:b/>
    </w:rPr>
  </w:style>
  <w:style w:type="character" w:styleId="WW8Num103z0">
    <w:name w:val="WW8Num103z0"/>
    <w:qFormat/>
    <w:rPr>
      <w:b/>
    </w:rPr>
  </w:style>
  <w:style w:type="character" w:styleId="WW8Num104z0">
    <w:name w:val="WW8Num104z0"/>
    <w:qFormat/>
    <w:rPr>
      <w:b/>
    </w:rPr>
  </w:style>
  <w:style w:type="character" w:styleId="WW8Num105z0">
    <w:name w:val="WW8Num105z0"/>
    <w:qFormat/>
    <w:rPr>
      <w:b/>
    </w:rPr>
  </w:style>
  <w:style w:type="character" w:styleId="WW8Num106z0">
    <w:name w:val="WW8Num106z0"/>
    <w:qFormat/>
    <w:rPr>
      <w:b/>
    </w:rPr>
  </w:style>
  <w:style w:type="character" w:styleId="WW8Num108z0">
    <w:name w:val="WW8Num108z0"/>
    <w:qFormat/>
    <w:rPr>
      <w:b/>
    </w:rPr>
  </w:style>
  <w:style w:type="character" w:styleId="WW8Num109z0">
    <w:name w:val="WW8Num109z0"/>
    <w:qFormat/>
    <w:rPr>
      <w:b/>
    </w:rPr>
  </w:style>
  <w:style w:type="character" w:styleId="WW8Num110z0">
    <w:name w:val="WW8Num110z0"/>
    <w:qFormat/>
    <w:rPr>
      <w:b/>
    </w:rPr>
  </w:style>
  <w:style w:type="character" w:styleId="WW8Num111z0">
    <w:name w:val="WW8Num111z0"/>
    <w:qFormat/>
    <w:rPr>
      <w:b/>
    </w:rPr>
  </w:style>
  <w:style w:type="character" w:styleId="WW8Num113z0">
    <w:name w:val="WW8Num113z0"/>
    <w:qFormat/>
    <w:rPr>
      <w:b/>
    </w:rPr>
  </w:style>
  <w:style w:type="character" w:styleId="WW8Num114z0">
    <w:name w:val="WW8Num114z0"/>
    <w:qFormat/>
    <w:rPr>
      <w:b/>
    </w:rPr>
  </w:style>
  <w:style w:type="character" w:styleId="WW8Num115z0">
    <w:name w:val="WW8Num115z0"/>
    <w:qFormat/>
    <w:rPr>
      <w:b/>
    </w:rPr>
  </w:style>
  <w:style w:type="character" w:styleId="WW8Num116z0">
    <w:name w:val="WW8Num116z0"/>
    <w:qFormat/>
    <w:rPr>
      <w:b/>
    </w:rPr>
  </w:style>
  <w:style w:type="character" w:styleId="WW8Num117z0">
    <w:name w:val="WW8Num117z0"/>
    <w:qFormat/>
    <w:rPr>
      <w:b/>
    </w:rPr>
  </w:style>
  <w:style w:type="character" w:styleId="WW8Num118z0">
    <w:name w:val="WW8Num118z0"/>
    <w:qFormat/>
    <w:rPr>
      <w:b/>
    </w:rPr>
  </w:style>
  <w:style w:type="character" w:styleId="WW8Num119z0">
    <w:name w:val="WW8Num119z0"/>
    <w:qFormat/>
    <w:rPr>
      <w:b/>
    </w:rPr>
  </w:style>
  <w:style w:type="character" w:styleId="WW8Num120z0">
    <w:name w:val="WW8Num120z0"/>
    <w:qFormat/>
    <w:rPr>
      <w:b/>
    </w:rPr>
  </w:style>
  <w:style w:type="character" w:styleId="WW8Num121z0">
    <w:name w:val="WW8Num121z0"/>
    <w:qFormat/>
    <w:rPr>
      <w:b/>
    </w:rPr>
  </w:style>
  <w:style w:type="character" w:styleId="WW8Num122z0">
    <w:name w:val="WW8Num122z0"/>
    <w:qFormat/>
    <w:rPr>
      <w:b/>
    </w:rPr>
  </w:style>
  <w:style w:type="character" w:styleId="WW8Num123z0">
    <w:name w:val="WW8Num123z0"/>
    <w:qFormat/>
    <w:rPr>
      <w:b/>
    </w:rPr>
  </w:style>
  <w:style w:type="character" w:styleId="WW8Num124z0">
    <w:name w:val="WW8Num124z0"/>
    <w:qFormat/>
    <w:rPr>
      <w:b/>
    </w:rPr>
  </w:style>
  <w:style w:type="character" w:styleId="WW8Num126z0">
    <w:name w:val="WW8Num126z0"/>
    <w:qFormat/>
    <w:rPr>
      <w:b/>
    </w:rPr>
  </w:style>
  <w:style w:type="character" w:styleId="WW8Num126z2">
    <w:name w:val="WW8Num126z2"/>
    <w:qFormat/>
    <w:rPr/>
  </w:style>
  <w:style w:type="character" w:styleId="WW8Num127z0">
    <w:name w:val="WW8Num127z0"/>
    <w:qFormat/>
    <w:rPr>
      <w:b/>
    </w:rPr>
  </w:style>
  <w:style w:type="character" w:styleId="WW8Num129z0">
    <w:name w:val="WW8Num129z0"/>
    <w:qFormat/>
    <w:rPr>
      <w:b/>
    </w:rPr>
  </w:style>
  <w:style w:type="character" w:styleId="WW8Num130z0">
    <w:name w:val="WW8Num130z0"/>
    <w:qFormat/>
    <w:rPr>
      <w:b/>
    </w:rPr>
  </w:style>
  <w:style w:type="character" w:styleId="WW8Num131z0">
    <w:name w:val="WW8Num131z0"/>
    <w:qFormat/>
    <w:rPr>
      <w:b/>
    </w:rPr>
  </w:style>
  <w:style w:type="character" w:styleId="WW8Num132z0">
    <w:name w:val="WW8Num132z0"/>
    <w:qFormat/>
    <w:rPr>
      <w:b/>
    </w:rPr>
  </w:style>
  <w:style w:type="character" w:styleId="WW8Num133z0">
    <w:name w:val="WW8Num133z0"/>
    <w:qFormat/>
    <w:rPr>
      <w:b/>
    </w:rPr>
  </w:style>
  <w:style w:type="character" w:styleId="WW8Num134z0">
    <w:name w:val="WW8Num134z0"/>
    <w:qFormat/>
    <w:rPr>
      <w:b/>
    </w:rPr>
  </w:style>
  <w:style w:type="character" w:styleId="WW8Num135z0">
    <w:name w:val="WW8Num135z0"/>
    <w:qFormat/>
    <w:rPr>
      <w:b/>
    </w:rPr>
  </w:style>
  <w:style w:type="character" w:styleId="WW8Num136z0">
    <w:name w:val="WW8Num136z0"/>
    <w:qFormat/>
    <w:rPr>
      <w:b/>
    </w:rPr>
  </w:style>
  <w:style w:type="character" w:styleId="WW8Num137z0">
    <w:name w:val="WW8Num137z0"/>
    <w:qFormat/>
    <w:rPr>
      <w:b/>
    </w:rPr>
  </w:style>
  <w:style w:type="character" w:styleId="WW8Num137z1">
    <w:name w:val="WW8Num137z1"/>
    <w:qFormat/>
    <w:rPr/>
  </w:style>
  <w:style w:type="character" w:styleId="WW8Num138z0">
    <w:name w:val="WW8Num138z0"/>
    <w:qFormat/>
    <w:rPr>
      <w:b/>
    </w:rPr>
  </w:style>
  <w:style w:type="character" w:styleId="WW8Num139z0">
    <w:name w:val="WW8Num139z0"/>
    <w:qFormat/>
    <w:rPr>
      <w:b/>
    </w:rPr>
  </w:style>
  <w:style w:type="character" w:styleId="WW8Num140z0">
    <w:name w:val="WW8Num140z0"/>
    <w:qFormat/>
    <w:rPr>
      <w:b/>
    </w:rPr>
  </w:style>
  <w:style w:type="character" w:styleId="WW8Num142z0">
    <w:name w:val="WW8Num142z0"/>
    <w:qFormat/>
    <w:rPr>
      <w:b/>
    </w:rPr>
  </w:style>
  <w:style w:type="character" w:styleId="WW8Num143z0">
    <w:name w:val="WW8Num143z0"/>
    <w:qFormat/>
    <w:rPr>
      <w:b/>
    </w:rPr>
  </w:style>
  <w:style w:type="character" w:styleId="WW8Num145z0">
    <w:name w:val="WW8Num145z0"/>
    <w:qFormat/>
    <w:rPr>
      <w:b/>
    </w:rPr>
  </w:style>
  <w:style w:type="character" w:styleId="WW8Num146z0">
    <w:name w:val="WW8Num146z0"/>
    <w:qFormat/>
    <w:rPr>
      <w:b/>
    </w:rPr>
  </w:style>
  <w:style w:type="character" w:styleId="WW8Num147z0">
    <w:name w:val="WW8Num147z0"/>
    <w:qFormat/>
    <w:rPr>
      <w:b/>
    </w:rPr>
  </w:style>
  <w:style w:type="character" w:styleId="WW8Num148z0">
    <w:name w:val="WW8Num148z0"/>
    <w:qFormat/>
    <w:rPr>
      <w:b/>
    </w:rPr>
  </w:style>
  <w:style w:type="character" w:styleId="WW8Num149z0">
    <w:name w:val="WW8Num149z0"/>
    <w:qFormat/>
    <w:rPr>
      <w:b/>
    </w:rPr>
  </w:style>
  <w:style w:type="character" w:styleId="Fuentedeprrafopredeter">
    <w:name w:val="Fuente de párrafo predeter."/>
    <w:qFormat/>
    <w:rPr/>
  </w:style>
  <w:style w:type="character" w:styleId="PageNumber">
    <w:name w:val="Page Number"/>
    <w:basedOn w:val="Fuentedeprrafopredeter"/>
    <w:rPr/>
  </w:style>
  <w:style w:type="character" w:styleId="Eacep1">
    <w:name w:val="eacep1"/>
    <w:qFormat/>
    <w:rPr>
      <w:color w:val="000000"/>
    </w:rPr>
  </w:style>
  <w:style w:type="character" w:styleId="InternetLink">
    <w:name w:val="Hyperlink"/>
    <w:rPr>
      <w:color w:val="0000FF"/>
      <w:u w:val="single"/>
    </w:rPr>
  </w:style>
  <w:style w:type="character" w:styleId="TextodegloboCar">
    <w:name w:val="Texto de globo Car"/>
    <w:qFormat/>
    <w:rPr>
      <w:rFonts w:ascii="Tahoma" w:hAnsi="Tahoma" w:cs="Tahoma"/>
      <w:sz w:val="16"/>
      <w:szCs w:val="16"/>
      <w:lang w:val="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jc w:val="center"/>
    </w:pPr>
    <w:rPr>
      <w:b/>
      <w:sz w:val="24"/>
      <w:u w:val="singl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z w:val="20"/>
      <w:szCs w:val="20"/>
    </w:rPr>
  </w:style>
  <w:style w:type="paragraph" w:styleId="Footer">
    <w:name w:val="Footer"/>
    <w:basedOn w:val="Normal"/>
    <w:pPr>
      <w:tabs>
        <w:tab w:val="clear" w:pos="708"/>
        <w:tab w:val="center" w:pos="4252" w:leader="none"/>
        <w:tab w:val="right" w:pos="8504" w:leader="none"/>
      </w:tabs>
    </w:pPr>
    <w:rPr/>
  </w:style>
  <w:style w:type="paragraph" w:styleId="Textoindependiente2">
    <w:name w:val="Texto independiente 2"/>
    <w:basedOn w:val="Normal"/>
    <w:qFormat/>
    <w:pPr>
      <w:widowControl w:val="false"/>
      <w:jc w:val="both"/>
    </w:pPr>
    <w:rPr>
      <w:sz w:val="24"/>
    </w:rPr>
  </w:style>
  <w:style w:type="paragraph" w:styleId="TITULO">
    <w:name w:val="TITULO"/>
    <w:basedOn w:val="Normal"/>
    <w:qFormat/>
    <w:pPr/>
    <w:rPr>
      <w:rFonts w:ascii="Arial (W1)" w:hAnsi="Arial (W1)" w:cs="Arial (W1)"/>
      <w:b/>
      <w:i/>
      <w:u w:val="single"/>
      <w:lang w:val="es-ES_tradnl"/>
    </w:rPr>
  </w:style>
  <w:style w:type="paragraph" w:styleId="SUBTIT">
    <w:name w:val="SUBTIT"/>
    <w:basedOn w:val="Normal"/>
    <w:qFormat/>
    <w:pPr/>
    <w:rPr>
      <w:rFonts w:ascii="Arial (W1)" w:hAnsi="Arial (W1)" w:cs="Arial (W1)"/>
      <w:b/>
      <w:i/>
      <w:sz w:val="18"/>
      <w:u w:val="single"/>
      <w:lang w:val="es-ES_tradnl"/>
    </w:rPr>
  </w:style>
  <w:style w:type="paragraph" w:styleId="FIRMAS">
    <w:name w:val="FIRMAS"/>
    <w:basedOn w:val="Normal"/>
    <w:qFormat/>
    <w:pPr/>
    <w:rPr>
      <w:rFonts w:ascii="Arial (W1)" w:hAnsi="Arial (W1)" w:cs="Arial (W1)"/>
      <w:b/>
      <w:sz w:val="18"/>
      <w:lang w:val="es-ES_tradnl"/>
    </w:rPr>
  </w:style>
  <w:style w:type="paragraph" w:styleId="WWTextoindependiente3">
    <w:name w:val="WW-Texto independiente 3"/>
    <w:basedOn w:val="Normal"/>
    <w:qFormat/>
    <w:pPr>
      <w:widowControl w:val="false"/>
      <w:suppressAutoHyphens w:val="true"/>
      <w:jc w:val="both"/>
    </w:pPr>
    <w:rPr>
      <w:rFonts w:ascii="Courier New" w:hAnsi="Courier New" w:cs="Courier New"/>
      <w:sz w:val="24"/>
      <w:lang w:val="es-ES_tradnl"/>
    </w:rPr>
  </w:style>
  <w:style w:type="paragraph" w:styleId="WWTextoindependiente2">
    <w:name w:val="WW-Texto independiente 2"/>
    <w:basedOn w:val="Normal"/>
    <w:qFormat/>
    <w:pPr>
      <w:suppressAutoHyphens w:val="true"/>
      <w:jc w:val="both"/>
    </w:pPr>
    <w:rPr>
      <w:sz w:val="22"/>
      <w:lang w:val="es-AR"/>
    </w:rPr>
  </w:style>
  <w:style w:type="paragraph" w:styleId="TextBodyIndent">
    <w:name w:val="Body Text Indent"/>
    <w:basedOn w:val="Normal"/>
    <w:pPr>
      <w:suppressAutoHyphens w:val="true"/>
      <w:spacing w:before="0" w:after="120"/>
      <w:ind w:left="283" w:hanging="0"/>
    </w:pPr>
    <w:rPr>
      <w:lang w:val="es-CO"/>
    </w:rPr>
  </w:style>
  <w:style w:type="paragraph" w:styleId="Textodeglobo">
    <w:name w:val="Texto de globo"/>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Num136">
    <w:name w:val="WW8Num136"/>
    <w:qFormat/>
  </w:style>
  <w:style w:type="numbering" w:styleId="WW8Num137">
    <w:name w:val="WW8Num137"/>
    <w:qFormat/>
  </w:style>
  <w:style w:type="numbering" w:styleId="WW8Num138">
    <w:name w:val="WW8Num138"/>
    <w:qFormat/>
  </w:style>
  <w:style w:type="numbering" w:styleId="WW8Num139">
    <w:name w:val="WW8Num139"/>
    <w:qFormat/>
  </w:style>
  <w:style w:type="numbering" w:styleId="WW8Num140">
    <w:name w:val="WW8Num140"/>
    <w:qFormat/>
  </w:style>
  <w:style w:type="numbering" w:styleId="WW8Num141">
    <w:name w:val="WW8Num141"/>
    <w:qFormat/>
  </w:style>
  <w:style w:type="numbering" w:styleId="WW8Num142">
    <w:name w:val="WW8Num142"/>
    <w:qFormat/>
  </w:style>
  <w:style w:type="numbering" w:styleId="WW8Num143">
    <w:name w:val="WW8Num143"/>
    <w:qFormat/>
  </w:style>
  <w:style w:type="numbering" w:styleId="WW8Num144">
    <w:name w:val="WW8Num144"/>
    <w:qFormat/>
  </w:style>
  <w:style w:type="numbering" w:styleId="WW8Num145">
    <w:name w:val="WW8Num145"/>
    <w:qFormat/>
  </w:style>
  <w:style w:type="numbering" w:styleId="WW8Num146">
    <w:name w:val="WW8Num146"/>
    <w:qFormat/>
  </w:style>
  <w:style w:type="numbering" w:styleId="WW8Num147">
    <w:name w:val="WW8Num147"/>
    <w:qFormat/>
  </w:style>
  <w:style w:type="numbering" w:styleId="WW8Num148">
    <w:name w:val="WW8Num148"/>
    <w:qFormat/>
  </w:style>
  <w:style w:type="numbering" w:styleId="WW8Num149">
    <w:name w:val="WW8Num14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2007-04-26T16:30:00Z</dcterms:created>
  <dc:creator>Luis Enrique</dc:creator>
  <dc:description/>
  <cp:keywords/>
  <dc:language>en-US</dc:language>
  <cp:lastModifiedBy>Franz Brian Muñoz Nery</cp:lastModifiedBy>
  <cp:lastPrinted>2015-06-26T15:42:00Z</cp:lastPrinted>
  <dcterms:modified xsi:type="dcterms:W3CDTF">2015-06-26T15:42:00Z</dcterms:modified>
  <cp:revision>11</cp:revision>
  <dc:subject/>
  <dc:title>CLAUSULA DE EXTRATERRITORIALIDAD</dc:title>
</cp:coreProperties>
</file>