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PARA CUBRIR DAÑOS OCASIONADOS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       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DIRECTAMENTE POR INUNDACIONES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ES_tradnl"/>
        </w:rPr>
        <w:t xml:space="preserve"> </w:t>
      </w: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06 001-2301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ab/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En consideración a la prima adicional pagada por el Asegurado, queda convenido que no obstante lo estipulado en contrario en las Condiciones impresas de la Póliza, este seguro cubre pérdida o daños materiales que sufra la propiedad asegurada como consecuencia de inundaciones provenientes de crecida de ríos, desborde de acequias, lagos y lagunas, así como deslizamientos de tierra producidos por lluvia.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 xml:space="preserve">Serán consideradas como un solo reclamo todas las pérdidas causadas por inundación que ocurran dentro de cualquier período de 48 horas consecutivas.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ab/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EXCLUSIONES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 xml:space="preserve">El seguro otorgado bajo esta Cláusula no cubre:  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a)</w:t>
        <w:tab/>
        <w:t>Pérdidas o daños producidos por efecto de plagas de toda especie, inclusive por moho y/u hongos.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b)</w:t>
        <w:tab/>
        <w:t>Huracán, tempestad, ventarrón y granizo.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c)</w:t>
        <w:tab/>
        <w:t>Bienes en campo abierto.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d)</w:t>
        <w:tab/>
        <w:t>Daños o pérdidas indirectas o consecuenciales de cualquier tipo.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e)</w:t>
        <w:tab/>
        <w:t>Entrada del agua en los edificios que provenga de lluvia, sea o no consecuencia de la obstrucción o insuficiencia de colectores, desagües o similares.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f)</w:t>
        <w:tab/>
        <w:t>Cultivos, plantaciones, cosechas en pie, carreteras, pistas, veredas, obras de alcantarillado y otras obras de ingeniería similares.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Queda entendido que todas las Condiciones de esta Póliza, a excepción de las expresamente variadas, que se apliquen a pérdida o daños causados por incendio, serán igualmente aplicables a pérdida o daños ocasionados directamente por las contingencias arriba especificadas.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sectPr>
      <w:footerReference w:type="default" r:id="rId2"/>
      <w:type w:val="nextPage"/>
      <w:pgSz w:w="12240" w:h="15840"/>
      <w:pgMar w:left="1701" w:right="1701" w:gutter="0" w:header="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s-BO"/>
      </w:rPr>
    </w:pPr>
    <w:r>
      <w:rPr>
        <w:lang w:val="es-BO"/>
      </w:rPr>
      <w:t>|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2007-03-25T21:11:00Z</dcterms:created>
  <dc:creator>deneira</dc:creator>
  <dc:description/>
  <cp:keywords/>
  <dc:language>en-US</dc:language>
  <cp:lastModifiedBy>Jaime Alejandro Beltran</cp:lastModifiedBy>
  <dcterms:modified xsi:type="dcterms:W3CDTF">2015-06-03T11:04:00Z</dcterms:modified>
  <cp:revision>6</cp:revision>
  <dc:subject/>
  <dc:title>“Latina”</dc:title>
</cp:coreProperties>
</file>