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BO"/>
        </w:rPr>
        <w:t xml:space="preserve">                           </w:t>
      </w:r>
      <w:r>
        <w:rPr>
          <w:rFonts w:cs="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ES_tradnl"/>
        </w:rPr>
        <w:t xml:space="preserve">     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PARA CUBRIR PÉRDIDAS O DAÑOS OCASIONADOS</w:t>
      </w:r>
    </w:p>
    <w:p>
      <w:pPr>
        <w:pStyle w:val="Normal"/>
        <w:tabs>
          <w:tab w:val="clear" w:pos="708"/>
          <w:tab w:val="center" w:pos="4680" w:leader="none"/>
        </w:tabs>
        <w:jc w:val="both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ES_tradnl"/>
        </w:rPr>
        <w:t xml:space="preserve">                        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DIRECTAMENTE POR GRANIZO Y/O NEVADA</w:t>
      </w:r>
    </w:p>
    <w:p>
      <w:pPr>
        <w:pStyle w:val="Normal"/>
        <w:ind w:left="1416" w:firstLine="708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06 001-2119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ab/>
      </w:r>
    </w:p>
    <w:p>
      <w:pPr>
        <w:pStyle w:val="Normal"/>
        <w:jc w:val="both"/>
        <w:rPr>
          <w:rFonts w:ascii="Arial" w:hAnsi="Arial" w:cs="Arial"/>
          <w:b/>
          <w:b/>
          <w:sz w:val="18"/>
          <w:szCs w:val="18"/>
          <w:lang w:val="es-ES_tradnl"/>
        </w:rPr>
      </w:pPr>
      <w:r>
        <w:rPr>
          <w:rFonts w:cs="Arial" w:ascii="Arial" w:hAnsi="Arial"/>
          <w:b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En consideración a la prima adicional pagada por el Asegurado, queda convenido y declarado que no obstante lo estipulado en contrario en las Condiciones Generales de la Póliza, esta Cláusula se extiende a cubrir las pérdidas o daños causados directamente a los bienes asegurados por la Póliza, hasta los límites de responsabilidad  establecidos, a consecuencia directa de Granizo y/o Nevada, con sujeción a las Condiciones Especiales citadas a continuación.</w:t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ab/>
      </w:r>
      <w:r>
        <w:rPr>
          <w:rFonts w:cs="Trebuchet MS;Trebuchet MS" w:ascii="Trebuchet MS;Trebuchet MS" w:hAnsi="Trebuchet MS;Trebuchet MS"/>
          <w:b/>
          <w:sz w:val="18"/>
          <w:szCs w:val="18"/>
          <w:u w:val="single"/>
          <w:lang w:val="es-ES_tradnl"/>
        </w:rPr>
        <w:t>CONDICIONES ESPECIALES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u w:val="single"/>
          <w:lang w:val="es-ES_tradnl"/>
        </w:rPr>
        <w:t>EXCLUSIONES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 xml:space="preserve">El seguro otorgado bajo esta Cláusula no cubre: 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a)</w:t>
        <w:tab/>
        <w:t>Pérdidas o daños ocasionados por maremoto, salida de mar, marejada u oleaje, inundación, crecientes de agua o desbordamientos, a menos que sean ocasionados directamente por Granizo y/o nevada.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b)</w:t>
        <w:tab/>
        <w:t xml:space="preserve">Pérdidas o daños causados por agua proveniente de un equipo de riego o de regaderas automáticas, o de otro equipo o tubería, a menos que tal equipo o tubería sufra previamente un daño como resultado directo de Granizo y/o nevada.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-144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Pérdidas y daños ocasionados al interior de los edificios o a los bienes allí contenidos, causados por lluvia, granizo, arena o polvo, llevados o no por el viento, a menos que, el edificio asegurado o que contenga la propiedad asegurada, sufra previamente daños que dejen aberturas en los techos, paredes, puertas o ventanas, causadas por la fuerza directa del granizo y/o nevada.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d)</w:t>
        <w:tab/>
        <w:t>Pérdidas o daños indirectos o consecuenciales de cualquier tipo.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A menos que se aseguren expresa y específicamente, la Compañía no será responsable por pérdidas o daños causados a los siguientes bienes: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a)</w:t>
        <w:tab/>
        <w:t>Molinos de viento o sus torres, toldos, avisos o artefactos publicitarios, chimeneas de metal, antenas de radio y/o televisión, aditamentos temporales de los techos, o techos de paja, madera o cartón.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b)</w:t>
        <w:tab/>
        <w:t>Edificios (o el contenido de los mismos), en curso de construcción o de reconstrucción, a menos que se hallen completamente techados y con todas sus puertas, ventanas y vidrios instalados.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c)</w:t>
        <w:tab/>
        <w:t xml:space="preserve">Granos, algodón, cosechas y otros bienes a la intemperie.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u w:val="single"/>
          <w:lang w:val="es-ES_tradnl"/>
        </w:rPr>
        <w:t>ESTIPULACIONES GENERALES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a)</w:t>
        <w:tab/>
        <w:t>Todas las Condiciones de esta Póliza se aplicarán por todo concepto al seguro concedido por esta Cláusula, salvo en cuanto se hallen modificadas expresamente por las Condiciones Especiales de ésta.</w:t>
      </w:r>
    </w:p>
    <w:p>
      <w:pPr>
        <w:pStyle w:val="TextBodyIndent"/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Cualquier referencia a incendio que se haga en las Condiciones de la Póliza, se considerará que incluye los riesgos cubiertos por la presente Cláusula.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-144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Las Condiciones Especiales de la presente se aplicarán únicamente al seguro concedido por esta Cláusula y las condiciones de la Póliza se aplicarán por todo concepto al seguro concedido por la Póliza, tal como si esta</w:t>
      </w:r>
    </w:p>
    <w:p>
      <w:pPr>
        <w:pStyle w:val="Normal"/>
        <w:tabs>
          <w:tab w:val="clear" w:pos="708"/>
          <w:tab w:val="left" w:pos="-1440" w:leader="none"/>
        </w:tabs>
        <w:ind w:firstLine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Cláusula no hubiese sido agregada a la misma.</w:t>
      </w:r>
    </w:p>
    <w:p>
      <w:pPr>
        <w:pStyle w:val="Normal"/>
        <w:ind w:left="1416" w:firstLine="708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ind w:left="1416" w:firstLine="708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sectPr>
      <w:type w:val="nextPage"/>
      <w:pgSz w:w="12240" w:h="15840"/>
      <w:pgMar w:left="1418" w:right="1418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720"/>
      </w:pPr>
      <w:rPr/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" w:hAnsi="Times New Roman" w:cs="Times New Roman"/>
      <w:b/>
      <w:u w:val="single"/>
      <w:lang w:val="es-E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BodyIndent">
    <w:name w:val="Body Text Indent"/>
    <w:basedOn w:val="Normal"/>
    <w:pPr>
      <w:ind w:left="720" w:hanging="0"/>
    </w:pPr>
    <w:rPr>
      <w:rFonts w:ascii="Arial" w:hAnsi="Arial" w:cs="Arial"/>
      <w:sz w:val="18"/>
      <w:lang w:val="es-ES_tradnl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2007-03-25T21:05:00Z</dcterms:created>
  <dc:creator>deneira</dc:creator>
  <dc:description/>
  <cp:keywords/>
  <dc:language>en-US</dc:language>
  <cp:lastModifiedBy>Franz Brian Muñoz Nery</cp:lastModifiedBy>
  <cp:lastPrinted>2015-06-26T15:46:00Z</cp:lastPrinted>
  <dcterms:modified xsi:type="dcterms:W3CDTF">2015-06-26T15:46:00Z</dcterms:modified>
  <cp:revision>6</cp:revision>
  <dc:subject/>
  <dc:title>“Latina”</dc:title>
</cp:coreProperties>
</file>