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  <w:t>RESOLUCIÓN ADMINISTRATIVA /SPVS/IS/No. 415 de fecha 13 de Junio de 2007</w:t>
      </w:r>
    </w:p>
    <w:p>
      <w:pPr>
        <w:pStyle w:val="Normal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bCs/>
          <w:sz w:val="18"/>
          <w:szCs w:val="18"/>
        </w:rPr>
      </w:pPr>
      <w:r>
        <w:rPr>
          <w:rFonts w:cs="Arial" w:ascii="Trebuchet MS" w:hAnsi="Trebuchet MS"/>
          <w:b/>
          <w:bCs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Arial"/>
          <w:b/>
          <w:b/>
          <w:bCs/>
          <w:sz w:val="18"/>
          <w:szCs w:val="18"/>
        </w:rPr>
      </w:pPr>
      <w:r>
        <w:rPr>
          <w:rFonts w:cs="Arial" w:ascii="Trebuchet MS" w:hAnsi="Trebuchet MS"/>
          <w:b/>
          <w:bCs/>
          <w:sz w:val="18"/>
          <w:szCs w:val="18"/>
        </w:rPr>
        <w:t>CLÁUSULA PARA OBRAS DE ARTE – A</w:t>
      </w:r>
    </w:p>
    <w:p>
      <w:pPr>
        <w:pStyle w:val="Normal"/>
        <w:jc w:val="center"/>
        <w:rPr>
          <w:rFonts w:ascii="Trebuchet MS" w:hAnsi="Trebuchet MS" w:cs="Arial"/>
          <w:b/>
          <w:b/>
          <w:bCs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  <w:t>Código Asignado 115-910101-2007 06 001 2806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center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  <w:t>RESOLUCIÓN ADMINISTRATIVA No 1565 Del 16 de Noviembre del 2018</w:t>
      </w:r>
    </w:p>
    <w:p>
      <w:pPr>
        <w:pStyle w:val="Normal"/>
        <w:tabs>
          <w:tab w:val="clear" w:pos="708"/>
          <w:tab w:val="left" w:pos="2850" w:leader="none"/>
        </w:tabs>
        <w:rPr>
          <w:rFonts w:ascii="Trebuchet MS" w:hAnsi="Trebuchet MS" w:cs="Trebuchet MS"/>
          <w:b/>
          <w:b/>
          <w:bCs/>
          <w:spacing w:val="-2"/>
          <w:sz w:val="18"/>
          <w:szCs w:val="18"/>
        </w:rPr>
      </w:pPr>
      <w:r>
        <w:rPr>
          <w:rFonts w:cs="Trebuchet MS" w:ascii="Trebuchet MS" w:hAnsi="Trebuchet MS"/>
          <w:b/>
          <w:bCs/>
          <w:spacing w:val="-2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b/>
          <w:b/>
          <w:bCs/>
          <w:sz w:val="18"/>
          <w:szCs w:val="18"/>
        </w:rPr>
      </w:pPr>
      <w:r>
        <w:rPr>
          <w:rFonts w:cs="Trebuchet MS" w:ascii="Trebuchet MS" w:hAnsi="Trebuchet MS"/>
          <w:b/>
          <w:bCs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tabs>
          <w:tab w:val="clear" w:pos="1440"/>
          <w:tab w:val="clear" w:pos="1728"/>
          <w:tab w:val="clear" w:pos="2880"/>
        </w:tabs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Esta Póliza cubre la pérdida material o daño físico a Obras de Arte mientras se encuentren en cualquier parte dentro del territorio estipulado en la presente Póliza.</w:t>
      </w:r>
    </w:p>
    <w:p>
      <w:pPr>
        <w:pStyle w:val="Normal"/>
        <w:rPr>
          <w:rFonts w:ascii="Trebuchet MS" w:hAnsi="Trebuchet MS" w:cs="Arial"/>
          <w:b/>
          <w:b/>
          <w:bCs/>
          <w:sz w:val="18"/>
          <w:szCs w:val="18"/>
        </w:rPr>
      </w:pPr>
      <w:r>
        <w:rPr>
          <w:rFonts w:cs="Arial" w:ascii="Trebuchet MS" w:hAnsi="Trebuchet MS"/>
          <w:b/>
          <w:bCs/>
          <w:sz w:val="18"/>
          <w:szCs w:val="18"/>
        </w:rPr>
      </w:r>
    </w:p>
    <w:p>
      <w:pPr>
        <w:pStyle w:val="Normal"/>
        <w:rPr/>
      </w:pPr>
      <w:r>
        <w:rPr>
          <w:rFonts w:cs="Arial" w:ascii="Trebuchet MS" w:hAnsi="Trebuchet MS"/>
          <w:b/>
          <w:bCs/>
          <w:sz w:val="18"/>
          <w:szCs w:val="18"/>
        </w:rPr>
        <w:t>Está Cláusula no cubre los siguientes puntos:</w:t>
      </w:r>
    </w:p>
    <w:p>
      <w:pPr>
        <w:pStyle w:val="Normal"/>
        <w:rPr>
          <w:rFonts w:ascii="Trebuchet MS" w:hAnsi="Trebuchet MS" w:cs="Arial"/>
          <w:b/>
          <w:b/>
          <w:bCs/>
          <w:sz w:val="18"/>
          <w:szCs w:val="18"/>
        </w:rPr>
      </w:pPr>
      <w:r>
        <w:rPr>
          <w:rFonts w:cs="Arial" w:ascii="Trebuchet MS" w:hAnsi="Trebuchet MS"/>
          <w:b/>
          <w:bCs/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Deterioro, uso y desgaste o vicio inherente,</w:t>
      </w:r>
    </w:p>
    <w:p>
      <w:pPr>
        <w:pStyle w:val="Normal"/>
        <w:tabs>
          <w:tab w:val="clear" w:pos="708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Pérdida o daño de cualquier proceso de reparación, restauración o retoque.</w:t>
      </w:r>
    </w:p>
    <w:p>
      <w:pPr>
        <w:pStyle w:val="Normal"/>
        <w:tabs>
          <w:tab w:val="clear" w:pos="708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left" w:pos="1440" w:leader="none"/>
          <w:tab w:val="left" w:pos="1728" w:leader="none"/>
          <w:tab w:val="left" w:pos="2880" w:leader="none"/>
        </w:tabs>
        <w:rPr/>
      </w:pPr>
      <w:r>
        <w:rPr>
          <w:rFonts w:cs="Trebuchet MS" w:ascii="Trebuchet MS" w:hAnsi="Trebuchet MS"/>
          <w:sz w:val="18"/>
          <w:szCs w:val="18"/>
        </w:rPr>
        <w:t>Se definen “Obras de Arte”: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</w:rPr>
        <w:t xml:space="preserve">Pinturas, grabados, cuadros, tapices, cristal raro o artístico, ventanas de cristal artístico, tapetes valiosos, estatuas, esculturas, muebles antiguos, antigüedades, porcelanas y bienes raros similares con valor histórico o  artístico, excluyendo automóviles, monedas, timbres, pieles, piedras preciosas, joyas, metales preciosos, embarcaciones, aeronaves, dinero y valores. </w:t>
      </w:r>
    </w:p>
    <w:p>
      <w:pPr>
        <w:pStyle w:val="Normal"/>
        <w:tabs>
          <w:tab w:val="clear" w:pos="708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tabs>
          <w:tab w:val="clear" w:pos="1440"/>
          <w:tab w:val="clear" w:pos="1728"/>
          <w:tab w:val="clear" w:pos="2880"/>
        </w:tabs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La presente Cláusula está sujeta al Valor Acordado y/o Admitido que se declare y se encuentre determinado en las Condiciones Particulares.</w:t>
      </w:r>
    </w:p>
    <w:p>
      <w:pPr>
        <w:pStyle w:val="TextBody"/>
        <w:tabs>
          <w:tab w:val="clear" w:pos="1440"/>
          <w:tab w:val="clear" w:pos="1728"/>
          <w:tab w:val="clear" w:pos="2880"/>
        </w:tabs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tabs>
          <w:tab w:val="clear" w:pos="1440"/>
          <w:tab w:val="clear" w:pos="1728"/>
          <w:tab w:val="clear" w:pos="2880"/>
        </w:tabs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spacing w:before="100" w:after="100"/>
        <w:jc w:val="both"/>
        <w:rPr>
          <w:rFonts w:ascii="Trebuchet MS" w:hAnsi="Trebuchet MS" w:cs="Calibri"/>
          <w:bCs/>
          <w:sz w:val="18"/>
          <w:szCs w:val="18"/>
        </w:rPr>
      </w:pPr>
      <w:r>
        <w:rPr>
          <w:rFonts w:cs="Calibri" w:ascii="Trebuchet MS" w:hAnsi="Trebuchet MS"/>
          <w:bCs/>
          <w:sz w:val="18"/>
          <w:szCs w:val="18"/>
        </w:rPr>
        <w:t>Todos los demás términos y/o condiciones de la Póliza permanecen invariables, salvo lo modificado por la presente Cláusula.</w:t>
      </w:r>
    </w:p>
    <w:p>
      <w:pPr>
        <w:pStyle w:val="Normal"/>
        <w:tabs>
          <w:tab w:val="clear" w:pos="708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" w:hAnsi="Trebuchet MS" w:cs="Trebuchet MS"/>
          <w:bCs/>
          <w:sz w:val="18"/>
          <w:szCs w:val="18"/>
        </w:rPr>
      </w:pPr>
      <w:r>
        <w:rPr>
          <w:rFonts w:cs="Trebuchet MS" w:ascii="Trebuchet MS" w:hAnsi="Trebuchet MS"/>
          <w:bCs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  <w:lang w:val="es-ES"/>
        </w:rPr>
      </w:pPr>
      <w:r>
        <w:rPr>
          <w:rFonts w:cs="Trebuchet MS" w:ascii="Trebuchet MS" w:hAnsi="Trebuchet MS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Cs/>
          <w:sz w:val="18"/>
          <w:szCs w:val="18"/>
        </w:rPr>
      </w:pPr>
      <w:r>
        <w:rPr>
          <w:rFonts w:cs="Arial" w:ascii="Trebuchet MS" w:hAnsi="Trebuchet MS"/>
          <w:bCs/>
          <w:sz w:val="18"/>
          <w:szCs w:val="18"/>
        </w:rPr>
        <w:tab/>
        <w:tab/>
        <w:tab/>
      </w:r>
    </w:p>
    <w:p>
      <w:pPr>
        <w:pStyle w:val="Normal"/>
        <w:rPr>
          <w:rFonts w:ascii="Trebuchet MS" w:hAnsi="Trebuchet MS" w:cs="Arial"/>
          <w:bCs/>
          <w:sz w:val="18"/>
          <w:szCs w:val="18"/>
        </w:rPr>
      </w:pPr>
      <w:r>
        <w:rPr>
          <w:rFonts w:cs="Arial" w:ascii="Trebuchet MS" w:hAnsi="Trebuchet MS"/>
          <w:bCs/>
          <w:sz w:val="18"/>
          <w:szCs w:val="18"/>
        </w:rPr>
      </w:r>
    </w:p>
    <w:sectPr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G Times">
    <w:charset w:val="00"/>
    <w:family w:val="roman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s-ES_tradnl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right="23" w:hanging="0"/>
      <w:jc w:val="center"/>
      <w:outlineLvl w:val="0"/>
    </w:pPr>
    <w:rPr>
      <w:rFonts w:ascii="Arial" w:hAnsi="Arial" w:cs="Arial"/>
      <w:b/>
      <w:sz w:val="18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numPr>
        <w:ilvl w:val="1"/>
        <w:numId w:val="1"/>
      </w:numPr>
      <w:tabs>
        <w:tab w:val="clear" w:pos="708"/>
        <w:tab w:val="left" w:pos="720" w:leader="none"/>
        <w:tab w:val="left" w:pos="1440" w:leader="none"/>
        <w:tab w:val="left" w:pos="1728" w:leader="none"/>
        <w:tab w:val="left" w:pos="2880" w:leader="none"/>
      </w:tabs>
      <w:suppressAutoHyphens w:val="true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numPr>
        <w:ilvl w:val="2"/>
        <w:numId w:val="1"/>
      </w:numPr>
      <w:tabs>
        <w:tab w:val="clear" w:pos="708"/>
        <w:tab w:val="left" w:pos="720" w:leader="none"/>
        <w:tab w:val="left" w:pos="1440" w:leader="none"/>
        <w:tab w:val="left" w:pos="1728" w:leader="none"/>
        <w:tab w:val="left" w:pos="2880" w:leader="none"/>
      </w:tabs>
      <w:suppressAutoHyphens w:val="true"/>
      <w:outlineLvl w:val="2"/>
    </w:pPr>
    <w:rPr>
      <w:b/>
      <w:spacing w:val="-2"/>
      <w:sz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5z0">
    <w:name w:val="WW8Num5z0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tabs>
        <w:tab w:val="clear" w:pos="708"/>
        <w:tab w:val="left" w:pos="1440" w:leader="none"/>
        <w:tab w:val="left" w:pos="1728" w:leader="none"/>
        <w:tab w:val="left" w:pos="2880" w:leader="none"/>
      </w:tabs>
      <w:jc w:val="both"/>
    </w:pPr>
    <w:rPr>
      <w:rFonts w:ascii="Arial" w:hAnsi="Arial" w:cs="Arial"/>
      <w:sz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widowControl w:val="false"/>
      <w:ind w:left="708" w:hanging="0"/>
      <w:jc w:val="both"/>
    </w:pPr>
    <w:rPr>
      <w:sz w:val="20"/>
      <w:lang w:val="es-ES"/>
    </w:rPr>
  </w:style>
  <w:style w:type="paragraph" w:styleId="Textoindependiente3">
    <w:name w:val="Texto independiente 3"/>
    <w:basedOn w:val="Normal"/>
    <w:qFormat/>
    <w:pPr>
      <w:widowControl w:val="false"/>
      <w:tabs>
        <w:tab w:val="clear" w:pos="708"/>
        <w:tab w:val="left" w:pos="1134" w:leader="none"/>
        <w:tab w:val="left" w:pos="1701" w:leader="none"/>
        <w:tab w:val="center" w:pos="4513" w:leader="none"/>
      </w:tabs>
      <w:suppressAutoHyphens w:val="true"/>
      <w:spacing w:lineRule="auto" w:line="336"/>
      <w:jc w:val="both"/>
    </w:pPr>
    <w:rPr>
      <w:rFonts w:ascii="CG Times" w:hAnsi="CG Times" w:cs="CG Times"/>
      <w:i/>
      <w:spacing w:val="-3"/>
    </w:rPr>
  </w:style>
  <w:style w:type="paragraph" w:styleId="Textopredeterminado">
    <w:name w:val="Texto predeterminado"/>
    <w:basedOn w:val="Normal"/>
    <w:qFormat/>
    <w:pPr/>
    <w:rPr>
      <w:lang w:val="en-US"/>
    </w:rPr>
  </w:style>
  <w:style w:type="paragraph" w:styleId="Textoindependiente2">
    <w:name w:val="Texto independiente 2"/>
    <w:basedOn w:val="Normal"/>
    <w:qFormat/>
    <w:pPr>
      <w:tabs>
        <w:tab w:val="clear" w:pos="708"/>
        <w:tab w:val="left" w:pos="1440" w:leader="none"/>
        <w:tab w:val="left" w:pos="1728" w:leader="none"/>
        <w:tab w:val="left" w:pos="2880" w:leader="none"/>
      </w:tabs>
    </w:pPr>
    <w:rPr>
      <w:rFonts w:ascii="Arial" w:hAnsi="Arial" w:cs="Arial"/>
      <w:sz w:val="16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2018-10-30T18:28:00Z</dcterms:created>
  <dc:creator>Usuario</dc:creator>
  <dc:description/>
  <cp:keywords/>
  <dc:language>en-US</dc:language>
  <cp:lastModifiedBy>Renato Chavez Sevilla</cp:lastModifiedBy>
  <cp:lastPrinted>2018-10-30T18:27:00Z</cp:lastPrinted>
  <dcterms:modified xsi:type="dcterms:W3CDTF">2018-11-27T11:57:00Z</dcterms:modified>
  <cp:revision>3</cp:revision>
  <dc:subject/>
  <dc:title>CLAUSULA PARA OBRAS DE ARTE</dc:title>
</cp:coreProperties>
</file>