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</w:t>
      </w:r>
      <w:r>
        <w:rPr>
          <w:rFonts w:cs="Trebuchet MS" w:ascii="Trebuchet MS" w:hAnsi="Trebuchet MS"/>
          <w:b/>
          <w:sz w:val="18"/>
          <w:szCs w:val="18"/>
          <w:lang w:val="es-BO"/>
        </w:rPr>
        <w:tab/>
        <w:t xml:space="preserve">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COBERTURA DE RIESGO DE HURTO Y/O RATERIA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06 001-2362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y sujeto  al pago previo de la prima adicional  por parte del Asegurado, este Seguro se extiende a cubrir e</w:t>
      </w: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 xml:space="preserve"> indemnizar al Asegurado por cualquier pérdida derivada del Riesgo de Hurto y/o Ratería, a la propiedad asegurada, mientras que dicha propiedad se encuentre dentro de los predios mencionados en dicha Póliza; </w:t>
      </w:r>
      <w:r>
        <w:rPr>
          <w:rFonts w:cs="Arial" w:ascii="Trebuchet MS" w:hAnsi="Trebuchet MS"/>
          <w:spacing w:val="-3"/>
          <w:sz w:val="18"/>
          <w:szCs w:val="18"/>
          <w:lang w:val="es-ES_tradnl"/>
        </w:rPr>
        <w:t>siempre que el Asegurado notifique inmediatamente a las autoridades de Policía cualquier daño o pérdida ocasionados  a causa del hurto y/o ratería descubierto.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3"/>
          <w:sz w:val="18"/>
          <w:szCs w:val="18"/>
          <w:lang w:val="es-ES_tradnl"/>
        </w:rPr>
        <w:t>Exclusiones</w:t>
      </w:r>
    </w:p>
    <w:p>
      <w:pPr>
        <w:pStyle w:val="Normal"/>
        <w:jc w:val="both"/>
        <w:rPr>
          <w:rFonts w:ascii="Trebuchet MS" w:hAnsi="Trebuchet MS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La Compañía, no será responsable bajo esta Cláusula por: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/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Cualquier pérdida causada por el Asegurado, los familiares del Asegurado o sus dependientes, los dependientes estables o eventuales del Asegurado o cualquier otra persona actuando con la Autoridad del Asegurado en forma expresa o implícita ya sea que se entregue título o posesión del bien a otra persona, bajo las circunstancias de fraude, estafa o engaño.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 xml:space="preserve">Pérdida a consecuencia de robo o intento del mismo. 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/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No cubre la pérdida por hurto de material de escritorio tales como: papel membreteado, formularios de cualquier tipo, libros u otros registros de las operaciones del Asegurado y otros elementos de material fungibles de uso y gasto cotidiano.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Cualquier faltante descubierto durante el inventario de la propiedad.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En toda acción judicial, litigio u otro procedimiento en que la compañía alegue que en virtud de las disposiciones de esta condición, la pérdida o daño invocado no está amparado por éste Seguro, la obligación de probar que tal pérdida o daño está amparado recaerá sobre el Asegurado.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En caso de pérdida por Hurto y/o ratería, el Asegurado tiene la obligación de proceder a la instauración del sumario informativo correspondiente o en su caso, el proceso administrativo, contra los responsables de su custodia de acuerdo a las regulaciones internas del Asegurado.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character" w:styleId="WW8Num1z0">
    <w:name w:val="WW8Num1z0"/>
    <w:qFormat/>
    <w:rPr>
      <w:b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2007-05-15T11:28:00Z</dcterms:created>
  <dc:creator>deneira</dc:creator>
  <dc:description/>
  <cp:keywords/>
  <dc:language>en-US</dc:language>
  <cp:lastModifiedBy>Jaime Alejandro Beltran</cp:lastModifiedBy>
  <dcterms:modified xsi:type="dcterms:W3CDTF">2015-06-24T09:56:00Z</dcterms:modified>
  <cp:revision>8</cp:revision>
  <dc:subject/>
  <dc:title>COBERTURA DE RIESGO DE HURTO</dc:title>
</cp:coreProperties>
</file>