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tbl>
      <w:tblPr>
        <w:tblW w:w="88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rPr>
          <w:trHeight w:val="1332" w:hRule="atLeast"/>
        </w:trPr>
        <w:tc>
          <w:tcPr>
            <w:tcW w:w="8835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right" w:pos="9360" w:leader="none"/>
              </w:tabs>
              <w:suppressAutoHyphens w:val="true"/>
              <w:snapToGrid w:val="false"/>
              <w:jc w:val="center"/>
              <w:rPr>
                <w:rFonts w:ascii="Trebuchet MS" w:hAnsi="Trebuchet MS" w:cs="Arial"/>
                <w:b/>
                <w:b/>
                <w:sz w:val="18"/>
                <w:szCs w:val="18"/>
                <w:lang w:val="es-ES_tradnl"/>
              </w:rPr>
            </w:pPr>
            <w:r>
              <w:rPr>
                <w:rFonts w:cs="Arial" w:ascii="Trebuchet MS" w:hAnsi="Trebuchet MS"/>
                <w:b/>
                <w:sz w:val="18"/>
                <w:szCs w:val="18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right" w:pos="9360" w:leader="none"/>
              </w:tabs>
              <w:suppressAutoHyphens w:val="true"/>
              <w:jc w:val="center"/>
              <w:rPr/>
            </w:pPr>
            <w:r>
              <w:rPr>
                <w:rFonts w:eastAsia="Trebuchet MS" w:cs="Trebuchet MS" w:ascii="Trebuchet MS" w:hAnsi="Trebuchet MS"/>
                <w:b/>
                <w:sz w:val="18"/>
                <w:szCs w:val="18"/>
                <w:lang w:val="es-ES_tradnl"/>
              </w:rPr>
              <w:t xml:space="preserve">    </w:t>
            </w:r>
            <w:r>
              <w:rPr>
                <w:rFonts w:cs="Arial" w:ascii="Trebuchet MS" w:hAnsi="Trebuchet MS"/>
                <w:b/>
                <w:sz w:val="18"/>
                <w:szCs w:val="18"/>
                <w:lang w:val="es-ES_tradnl"/>
              </w:rPr>
              <w:t>PÓLIZA DE SEGURO DE TODO RIESGO DE DAÑOS A LA PROPIEDAD</w:t>
            </w:r>
          </w:p>
          <w:p>
            <w:pPr>
              <w:pStyle w:val="Normal"/>
              <w:ind w:left="640" w:firstLine="80"/>
              <w:jc w:val="center"/>
              <w:rPr>
                <w:rFonts w:ascii="Trebuchet MS" w:hAnsi="Trebuchet MS" w:cs="Arial"/>
                <w:b/>
                <w:b/>
                <w:spacing w:val="-2"/>
                <w:sz w:val="18"/>
                <w:szCs w:val="18"/>
                <w:lang w:val="es-ES_tradnl"/>
              </w:rPr>
            </w:pPr>
            <w:r>
              <w:rPr>
                <w:rFonts w:cs="Arial" w:ascii="Trebuchet MS" w:hAnsi="Trebuchet MS"/>
                <w:b/>
                <w:spacing w:val="-2"/>
                <w:sz w:val="18"/>
                <w:szCs w:val="18"/>
                <w:lang w:val="es-ES_tradnl"/>
              </w:rPr>
              <w:t>Código Asignado 115-910101-2007 06 001</w:t>
            </w:r>
          </w:p>
          <w:p>
            <w:pPr>
              <w:pStyle w:val="Normal"/>
              <w:ind w:left="640" w:firstLine="80"/>
              <w:rPr/>
            </w:pPr>
            <w:r>
              <w:rPr>
                <w:rFonts w:eastAsia="Trebuchet MS" w:cs="Trebuchet MS" w:ascii="Trebuchet MS" w:hAnsi="Trebuchet MS"/>
                <w:b/>
                <w:spacing w:val="-2"/>
                <w:sz w:val="18"/>
                <w:szCs w:val="18"/>
                <w:lang w:val="es-ES_tradnl"/>
              </w:rPr>
              <w:t xml:space="preserve">           </w:t>
            </w:r>
            <w:r>
              <w:rPr>
                <w:rFonts w:cs="Arial" w:ascii="Trebuchet MS" w:hAnsi="Trebuchet MS"/>
                <w:b/>
                <w:spacing w:val="-2"/>
                <w:sz w:val="18"/>
                <w:szCs w:val="18"/>
                <w:lang w:val="es-ES_tradnl"/>
              </w:rPr>
              <w:t>RESOLUCIÓN ADMINISTRATIVA /SPVS/IS/No. 415 de fecha 13 de Junio de 2007</w:t>
            </w:r>
          </w:p>
          <w:p>
            <w:pPr>
              <w:pStyle w:val="Normal"/>
              <w:ind w:left="640" w:firstLine="80"/>
              <w:jc w:val="center"/>
              <w:rPr>
                <w:rFonts w:ascii="Trebuchet MS" w:hAnsi="Trebuchet MS" w:cs="Arial"/>
                <w:b/>
                <w:b/>
                <w:spacing w:val="-2"/>
                <w:sz w:val="18"/>
                <w:szCs w:val="18"/>
                <w:lang w:val="es-ES_tradnl"/>
              </w:rPr>
            </w:pPr>
            <w:r>
              <w:rPr>
                <w:rFonts w:cs="Arial" w:ascii="Trebuchet MS" w:hAnsi="Trebuchet MS"/>
                <w:b/>
                <w:spacing w:val="-2"/>
                <w:sz w:val="18"/>
                <w:szCs w:val="18"/>
                <w:lang w:val="es-ES_tradnl"/>
              </w:rPr>
            </w:r>
          </w:p>
          <w:p>
            <w:pPr>
              <w:pStyle w:val="Heading1"/>
              <w:widowControl w:val="false"/>
              <w:suppressAutoHyphens w:val="true"/>
              <w:spacing w:before="0" w:after="0"/>
              <w:rPr>
                <w:rFonts w:ascii="Trebuchet MS" w:hAnsi="Trebuchet MS" w:cs="Trebuchet MS"/>
                <w:b w:val="false"/>
                <w:b w:val="false"/>
                <w:spacing w:val="-2"/>
                <w:sz w:val="18"/>
                <w:szCs w:val="18"/>
                <w:lang w:val="es-ES_tradnl"/>
              </w:rPr>
            </w:pPr>
            <w:r>
              <w:rPr>
                <w:rFonts w:cs="Trebuchet MS" w:ascii="Trebuchet MS" w:hAnsi="Trebuchet MS"/>
                <w:b w:val="false"/>
                <w:spacing w:val="-2"/>
                <w:sz w:val="18"/>
                <w:szCs w:val="18"/>
                <w:lang w:val="es-ES_tradnl"/>
              </w:rPr>
            </w:r>
          </w:p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Trebuchet MS" w:cs="Trebuchet MS" w:ascii="Trebuchet MS" w:hAnsi="Trebuchet MS"/>
                <w:bCs w:val="false"/>
                <w:spacing w:val="-2"/>
                <w:kern w:val="0"/>
                <w:sz w:val="18"/>
                <w:szCs w:val="18"/>
                <w:lang w:val="es-ES_tradnl"/>
              </w:rPr>
              <w:t xml:space="preserve">    </w:t>
            </w:r>
            <w:r>
              <w:rPr>
                <w:rFonts w:cs="Trebuchet MS" w:ascii="Trebuchet MS" w:hAnsi="Trebuchet MS"/>
                <w:bCs w:val="false"/>
                <w:spacing w:val="-2"/>
                <w:kern w:val="0"/>
                <w:sz w:val="18"/>
                <w:szCs w:val="18"/>
                <w:lang w:val="es-ES_tradnl"/>
              </w:rPr>
              <w:t>ANEXO ACLARATORIO COBERTURAS BASICAS</w:t>
            </w:r>
          </w:p>
          <w:p>
            <w:pPr>
              <w:pStyle w:val="TextBodyIndent"/>
              <w:spacing w:before="0" w:after="0"/>
              <w:rPr>
                <w:rFonts w:ascii="Trebuchet MS" w:hAnsi="Trebuchet MS" w:cs="Trebuchet MS"/>
                <w:b/>
                <w:b/>
                <w:bCs/>
                <w:spacing w:val="-2"/>
                <w:kern w:val="0"/>
                <w:sz w:val="18"/>
                <w:szCs w:val="18"/>
                <w:lang w:val="es-ES_tradnl"/>
              </w:rPr>
            </w:pPr>
            <w:r>
              <w:rPr>
                <w:rFonts w:cs="Trebuchet MS" w:ascii="Trebuchet MS" w:hAnsi="Trebuchet MS"/>
                <w:b/>
                <w:bCs/>
                <w:spacing w:val="-2"/>
                <w:kern w:val="0"/>
                <w:sz w:val="18"/>
                <w:szCs w:val="18"/>
                <w:lang w:val="es-ES_tradnl"/>
              </w:rPr>
            </w:r>
          </w:p>
        </w:tc>
      </w:tr>
    </w:tbl>
    <w:p>
      <w:pPr>
        <w:pStyle w:val="Normal"/>
        <w:ind w:left="2160" w:hanging="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 2838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ADMINISTRATIVA/APS/DS/No.135/2018 DE FECHA 01 DE FEBRERO DE 2018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autoSpaceDE w:val="fals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Se aclara por el presente anexo, que los bienes que se amparan en esta cobertura contra daños o pérdidas materiales que sufran en forma súbita e imprevista, que hagan necesaria su reparación o reemplazo a fin de dejarlos en condiciones similares a las existentes inmediatamente antes de ocurrir el siniestro, a consecuencia de los riesgos que enseguida se citan y únicamente dentro del predio consignado en las Condiciones Particulares.</w:t>
      </w:r>
    </w:p>
    <w:p>
      <w:pPr>
        <w:pStyle w:val="Normal"/>
        <w:autoSpaceDE w:val="false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autoSpaceDE w:val="false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Incendio, impacto directo de rayo, implosión, explosión, extinción de incendios.</w:t>
      </w:r>
    </w:p>
    <w:p>
      <w:pPr>
        <w:pStyle w:val="Normal"/>
        <w:autoSpaceDE w:val="false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autoSpaceDE w:val="false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Quemaduras superficiales</w:t>
      </w:r>
    </w:p>
    <w:p>
      <w:pPr>
        <w:pStyle w:val="Normal"/>
        <w:autoSpaceDE w:val="false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  <w:t>Todos los demás términos y condiciones de la Póliza de la cual el presente anexo forma parte integrante e indivisible, se mantienen sin alteración.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</w:rPr>
      </w:pPr>
      <w:r>
        <w:rPr>
          <w:rFonts w:cs="Trebuchet MS" w:ascii="Trebuchet MS" w:hAnsi="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MX"/>
        </w:rPr>
      </w:pPr>
      <w:r>
        <w:rPr>
          <w:rFonts w:cs="Trebuchet MS" w:ascii="Trebuchet MS" w:hAnsi="Trebuchet MS"/>
          <w:spacing w:val="-2"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" w:hAnsi="Trebuchet MS" w:cs="Trebuchet MS"/>
          <w:b/>
          <w:b/>
          <w:sz w:val="18"/>
          <w:szCs w:val="18"/>
          <w:lang w:val="es-MX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pacing w:val="-3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3"/>
          <w:sz w:val="18"/>
          <w:szCs w:val="18"/>
          <w:lang w:val="es-ES_tradnl"/>
        </w:rPr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widowControl w:val="false"/>
        <w:suppressAutoHyphens w:val="true"/>
        <w:jc w:val="center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extoindependiente2Car">
    <w:name w:val="Texto independiente 2 Car"/>
    <w:qFormat/>
    <w:rPr>
      <w:sz w:val="24"/>
      <w:lang w:val="es-ES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2017-11-27T17:07:00Z</dcterms:created>
  <dc:creator>Luis Enrique</dc:creator>
  <dc:description/>
  <cp:keywords/>
  <dc:language>en-US</dc:language>
  <cp:lastModifiedBy>Blanca Yola Iris Rivera Coronel</cp:lastModifiedBy>
  <cp:lastPrinted>2017-11-27T17:07:00Z</cp:lastPrinted>
  <dcterms:modified xsi:type="dcterms:W3CDTF">2018-02-27T09:53:00Z</dcterms:modified>
  <cp:revision>4</cp:revision>
  <dc:subject/>
  <dc:title>CLAUSULA DE EXTRATERRITORIALIDAD</dc:title>
</cp:coreProperties>
</file>