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                     </w:t>
      </w: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CONDICIONES ESPECIALES RELATIVAS A PERDIDAS O DAÑO A SEMBRADIOS, BOSQUES Y CULTIVOS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06 001-2588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Arial;Arial" w:hAnsi="Arial;Arial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Arial;Arial" w:hAnsi="Arial;Arial"/>
          <w:b/>
          <w:spacing w:val="-2"/>
          <w:sz w:val="18"/>
          <w:szCs w:val="18"/>
          <w:lang w:val="es-BO"/>
        </w:rPr>
      </w:r>
    </w:p>
    <w:p>
      <w:pPr>
        <w:pStyle w:val="WWTextoindependiente2"/>
        <w:rPr>
          <w:rFonts w:ascii="Trebuchet MS;Trebuchet MS" w:hAnsi="Trebuchet MS;Trebuchet MS" w:cs="Arial;Arial"/>
          <w:sz w:val="18"/>
          <w:szCs w:val="18"/>
        </w:rPr>
      </w:pPr>
      <w:r>
        <w:rPr>
          <w:rFonts w:cs="Arial;Arial" w:ascii="Trebuchet MS;Trebuchet MS" w:hAnsi="Trebuchet MS;Trebuchet MS"/>
          <w:sz w:val="18"/>
          <w:szCs w:val="18"/>
        </w:rPr>
        <w:t>Queda entendido y convenido, en adición a los términos, exclusiones, Cláusulas y condiciones contenidos  en la Póliza o a ella endosados, que la Compañía no indemnizará al Asegurado por pérdida o daño causados a sembradíos, bosques y/o  cualquier clase de cultivos, por cualquier causa directa o indirecta.</w:t>
      </w:r>
    </w:p>
    <w:p>
      <w:pPr>
        <w:pStyle w:val="Normal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right="44" w:hanging="0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2007-04-25T18:16:00Z</dcterms:created>
  <dc:creator>Luis Enrique</dc:creator>
  <dc:description/>
  <cp:keywords/>
  <dc:language>en-US</dc:language>
  <cp:lastModifiedBy>Jaime Alejandro Beltran</cp:lastModifiedBy>
  <dcterms:modified xsi:type="dcterms:W3CDTF">2015-06-03T12:30:00Z</dcterms:modified>
  <cp:revision>6</cp:revision>
  <dc:subject/>
  <dc:title>CLAUSULA DE EXTRATERRITORIALIDAD</dc:title>
</cp:coreProperties>
</file>