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>POLIZA DE SEGURO DE TODO RIESGO DAÑOS A LA PROPIEDAD</w:t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>Código SPVS 115-910101-2007 06 001</w:t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>Resolución Administrativa/SPVS/IS/No.415 de Fecha 13 de Junio de 2007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</w:r>
    </w:p>
    <w:p>
      <w:pPr>
        <w:pStyle w:val="Normal"/>
        <w:jc w:val="center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EXTENSIÓN DE LOS LIMITES DE RESPONSABILIDAD (CLÁUSULA SWING)</w:t>
      </w:r>
    </w:p>
    <w:p>
      <w:pPr>
        <w:pStyle w:val="Normal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</w:t>
      </w:r>
      <w:r>
        <w:rPr>
          <w:rFonts w:cs="Arial;Arial" w:ascii="Trebuchet MS;Trebuchet MS" w:hAnsi="Trebuchet MS;Trebuchet MS"/>
          <w:b/>
          <w:sz w:val="18"/>
          <w:szCs w:val="18"/>
        </w:rPr>
        <w:t>Código Asignado 115-910101-2007 06 001 2809</w:t>
      </w:r>
    </w:p>
    <w:p>
      <w:pPr>
        <w:pStyle w:val="Normal"/>
        <w:ind w:left="640" w:firstLine="80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>RESOLUCIÓN ADMINISTRATIVA APS/DS/No.381/2014 de fecha 28 de Mayo de 2014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Se deja constancia que a los efectos de la cuantificación de pérdidas, se admitirá una diferencia de 10% menos entre el valor de reposición del bien dañado y el valor declarado de dicho bien en la presente póliza.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Se deja expresamente convenido que esta cláusula aplica únicamente a los bienes amparados en la póliza y no así a las sumas aseguradas de las clausulas adicionales.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 xml:space="preserve">En consecuencia, en caso de siniestro la Compañía dejará de aplicar la regla proporcional de infraseguro hasta el porcentaje establecido en la presente cláusula. 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se mantienen sin modificación.</w:t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sectPr>
      <w:headerReference w:type="default" r:id="rId2"/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EncabezadoCar">
    <w:name w:val="Encabezado Car"/>
    <w:qFormat/>
    <w:rPr>
      <w:lang w:val="es-ES"/>
    </w:rPr>
  </w:style>
  <w:style w:type="character" w:styleId="PiedepginaCar">
    <w:name w:val="Pie de página Car"/>
    <w:qFormat/>
    <w:rPr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2014-06-06T15:47:00Z</dcterms:created>
  <dc:creator>Usuario Bisa Seguros S.A..</dc:creator>
  <dc:description/>
  <cp:keywords/>
  <dc:language>en-US</dc:language>
  <cp:lastModifiedBy>Jaime Alejandro Beltran</cp:lastModifiedBy>
  <cp:lastPrinted>2014-06-06T15:46:00Z</cp:lastPrinted>
  <dcterms:modified xsi:type="dcterms:W3CDTF">2015-06-03T12:32:00Z</dcterms:modified>
  <cp:revision>5</cp:revision>
  <dc:subject/>
  <dc:title>EXTENSION DE LOS LIMITES DE RESPONSABILIDAD (CLAUSULA SWING)</dc:title>
</cp:coreProperties>
</file>