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bidi w:val="0"/>
        <w:ind w:left="0" w:right="0" w:hanging="0"/>
        <w:rPr>
          <w:lang w:val="es-MX"/>
        </w:rPr>
      </w:pPr>
      <w:r>
        <w:rPr>
          <w:rFonts w:cs="Arial" w:ascii="Trebuchet MS" w:hAnsi="Trebuchet MS"/>
          <w:b/>
          <w:sz w:val="18"/>
          <w:szCs w:val="18"/>
          <w:lang w:val="es-MX"/>
        </w:rPr>
        <w:t xml:space="preserve">                            </w:t>
      </w:r>
      <w:r>
        <w:rPr>
          <w:rFonts w:cs="Arial" w:ascii="Trebuchet MS" w:hAnsi="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bidi w:val="0"/>
        <w:ind w:left="1416" w:right="0" w:firstLine="708"/>
        <w:rPr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bidi w:val="0"/>
        <w:ind w:left="640" w:right="0" w:firstLine="80"/>
        <w:rPr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bidi w:val="0"/>
        <w:ind w:left="640" w:right="0" w:firstLine="80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bidi w:val="0"/>
        <w:ind w:left="0" w:right="0" w:hanging="0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bidi w:val="0"/>
        <w:ind w:left="1416" w:right="0" w:firstLine="708"/>
        <w:rPr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ROBO Y/O ASALTO DE DINERO EN CAJA FUERTE</w:t>
      </w:r>
    </w:p>
    <w:p>
      <w:pPr>
        <w:pStyle w:val="Normal"/>
        <w:bidi w:val="0"/>
        <w:ind w:left="1416" w:right="0" w:firstLine="708"/>
        <w:rPr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06 001-2326</w:t>
      </w:r>
    </w:p>
    <w:p>
      <w:pPr>
        <w:pStyle w:val="Normal"/>
        <w:bidi w:val="0"/>
        <w:ind w:left="0" w:right="0" w:hanging="0"/>
        <w:rPr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bidi w:val="0"/>
        <w:ind w:left="0" w:right="0" w:hanging="0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</w:r>
    </w:p>
    <w:p>
      <w:pPr>
        <w:pStyle w:val="Normal"/>
        <w:bidi w:val="0"/>
        <w:ind w:left="0" w:right="0" w:hanging="0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</w:r>
    </w:p>
    <w:p>
      <w:pPr>
        <w:pStyle w:val="TextBody"/>
        <w:bidi w:val="0"/>
        <w:ind w:left="0" w:right="0" w:hanging="0"/>
        <w:rPr/>
      </w:pPr>
      <w:r>
        <w:rPr>
          <w:rFonts w:cs="Trebuchet MS" w:ascii="Trebuchet MS" w:hAnsi="Trebuchet MS"/>
          <w:sz w:val="18"/>
          <w:szCs w:val="18"/>
        </w:rPr>
        <w:t>Mediante el presente Anexo, que pasa a formar parte integrante de la Póliza principal que no obstante lo establecido en las Condiciones Generales de la Póliza, este seguro se extiende a cubrir  las pérdidas de dinero contenido Caja Fuerte, (las 24 horas del día) causadas por robo y/o asalto o intento de asalto, entendiéndose por tal, el perpetrado dentro del local en que éste se encuentre, mediante el uso de la fuerza o violencia  (sea moral o física) sobre las personas.</w:t>
      </w:r>
    </w:p>
    <w:p>
      <w:pPr>
        <w:pStyle w:val="Normal"/>
        <w:bidi w:val="0"/>
        <w:ind w:left="0" w:right="0" w:hanging="0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</w:r>
    </w:p>
    <w:p>
      <w:pPr>
        <w:pStyle w:val="Normal"/>
        <w:bidi w:val="0"/>
        <w:ind w:left="0" w:right="0" w:hanging="0"/>
        <w:jc w:val="both"/>
        <w:rPr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  <w:t>Todos los demás términos y condiciones de la Póliza principal permanecen invariables.</w:t>
      </w:r>
    </w:p>
    <w:p>
      <w:pPr>
        <w:pStyle w:val="Normal"/>
        <w:bidi w:val="0"/>
        <w:ind w:left="0" w:right="0" w:hanging="0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</w:r>
    </w:p>
    <w:p>
      <w:pPr>
        <w:pStyle w:val="Normal"/>
        <w:widowControl w:val="false"/>
        <w:bidi w:val="0"/>
        <w:ind w:left="0" w:right="0" w:hanging="0"/>
        <w:jc w:val="center"/>
        <w:rPr>
          <w:rFonts w:ascii="Trebuchet MS" w:hAnsi="Trebuchet MS"/>
          <w:b/>
          <w:b/>
          <w:sz w:val="18"/>
          <w:szCs w:val="18"/>
        </w:rPr>
      </w:pPr>
      <w:r>
        <w:rPr>
          <w:rFonts w:ascii="Trebuchet MS" w:hAnsi="Trebuchet MS"/>
          <w:b/>
          <w:sz w:val="18"/>
          <w:szCs w:val="18"/>
        </w:rPr>
      </w:r>
    </w:p>
    <w:p>
      <w:pPr>
        <w:pStyle w:val="Normal"/>
        <w:widowControl w:val="false"/>
        <w:bidi w:val="0"/>
        <w:ind w:left="0" w:right="0" w:hanging="0"/>
        <w:jc w:val="center"/>
        <w:rPr>
          <w:lang w:val="es-BO"/>
        </w:rPr>
      </w:pPr>
      <w:r>
        <w:rPr>
          <w:rFonts w:ascii="Trebuchet MS" w:hAnsi="Trebuchet MS"/>
          <w:b/>
          <w:sz w:val="18"/>
          <w:szCs w:val="18"/>
          <w:lang w:val="es-BO"/>
        </w:rPr>
        <w:t>“</w:t>
      </w:r>
      <w:r>
        <w:rPr>
          <w:rFonts w:ascii="Trebuchet MS" w:hAnsi="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rebuchet MS" w:hAnsi="Trebuchet MS" w:cs="Trebuchet MS"/>
          <w:b/>
          <w:b/>
          <w:bCs/>
          <w:lang w:val="es-BO"/>
        </w:rPr>
      </w:pPr>
      <w:r>
        <w:rPr>
          <w:rFonts w:cs="Trebuchet MS" w:ascii="Trebuchet MS" w:hAnsi="Trebuchet MS"/>
          <w:b/>
          <w:bCs/>
          <w:lang w:val="es-BO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18" w:right="1418" w:gutter="0" w:header="709" w:top="2268" w:footer="0" w:bottom="141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rebuchet M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ind w:left="0" w:right="0" w:hanging="0"/>
      <w:rPr>
        <w:rFonts w:ascii="Times New Roman" w:hAnsi="Times New Roman"/>
        <w:u w:val="single"/>
        <w:lang w:val="es-ES_tradnl"/>
      </w:rPr>
    </w:pPr>
    <w:r>
      <w:rPr>
        <w:u w:val="single"/>
        <w:lang w:val="es-ES_tradnl"/>
      </w:rPr>
    </w:r>
  </w:p>
  <w:p>
    <w:pPr>
      <w:pStyle w:val="Header"/>
      <w:bidi w:val="0"/>
      <w:ind w:left="0" w:right="0" w:hanging="0"/>
      <w:rPr>
        <w:rFonts w:ascii="Times New Roman" w:hAnsi="Times New Roman"/>
      </w:rPr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left"/>
      <w:textAlignment w:val="auto"/>
    </w:pPr>
    <w:rPr>
      <w:rFonts w:ascii="Times New Roman" w:hAnsi="Times New Roman" w:eastAsia="Courier New" w:cs="Times New Roman"/>
      <w:color w:val="auto"/>
      <w:kern w:val="2"/>
      <w:sz w:val="20"/>
      <w:szCs w:val="20"/>
      <w:lang w:val="es-ES" w:eastAsia="es-E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qFormat/>
    <w:rPr>
      <w:rFonts w:ascii="Arial" w:hAnsi="Arial" w:cs="Arial"/>
      <w:b/>
      <w:bCs/>
      <w:kern w:val="2"/>
      <w:sz w:val="32"/>
      <w:szCs w:val="32"/>
    </w:rPr>
  </w:style>
  <w:style w:type="character" w:styleId="TtuloCar">
    <w:name w:val="Título Car"/>
    <w:basedOn w:val="DefaultParagraphFont"/>
    <w:qFormat/>
    <w:rPr>
      <w:rFonts w:ascii="Calibri Light" w:hAnsi="Calibri Light" w:eastAsia="Times New Roman"/>
      <w:b/>
      <w:bCs/>
      <w:kern w:val="2"/>
      <w:sz w:val="32"/>
      <w:szCs w:val="32"/>
    </w:rPr>
  </w:style>
  <w:style w:type="character" w:styleId="TextoindependienteCar">
    <w:name w:val="Texto independiente Car"/>
    <w:basedOn w:val="DefaultParagraph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360"/>
      <w:jc w:val="both"/>
    </w:pPr>
    <w:rPr>
      <w:lang w:val="es-MX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Times New Roman" w:hAnsi="Times New Roman" w:eastAsia="Courier New" w:cs="Times New Roman"/>
      <w:color w:val="auto"/>
      <w:kern w:val="2"/>
      <w:sz w:val="22"/>
      <w:szCs w:val="22"/>
      <w:lang w:val="es-BO" w:eastAsia="es-BO" w:bidi="ar-SA"/>
    </w:rPr>
  </w:style>
  <w:style w:type="paragraph" w:styleId="Title">
    <w:name w:val="Title"/>
    <w:basedOn w:val="Normal"/>
    <w:qFormat/>
    <w:pPr>
      <w:spacing w:lineRule="auto" w:line="360"/>
      <w:jc w:val="center"/>
    </w:pPr>
    <w:rPr>
      <w:rFonts w:ascii="Courier New" w:hAnsi="Courier New" w:cs="Courier New"/>
      <w:b/>
      <w:bCs/>
      <w:lang w:val="es-M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99</Pages>
  <Words>155</Words>
  <Characters>1009</Characters>
  <CharactersWithSpaces>856</CharactersWithSpace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2000-01-05T10:00:00Z</dcterms:created>
  <dc:creator>vivian</dc:creator>
  <dc:description/>
  <dc:language>en-US</dc:language>
  <cp:lastModifiedBy/>
  <cp:lastPrinted>2015-06-26T15:48:00Z</cp:lastPrinted>
  <dcterms:modified xsi:type="dcterms:W3CDTF">2015-06-26T15:48:00Z</dcterms:modified>
  <cp:revision>11</cp:revision>
  <dc:subject/>
  <dc:title>CLAUSULA DE ALTAS Y BAJAS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Franz Brian Muñoz Nery</vt:lpwstr>
  </property>
</Properties>
</file>