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b/>
          <w:bCs/>
          <w:color w:val="1F3864"/>
          <w:sz w:val="32"/>
          <w:szCs w:val="32"/>
        </w:rPr>
        <w:t xml:space="preserve">A Leakage-Free Classical Pipeline for 5-Class SSVEP Decoding Under a 1.0-Second Constraint</w:t>
      </w:r>
    </w:p>
    <w:p>
      <w:pPr>
        <w:spacing w:after="160"/>
        <w:jc w:val="center"/>
      </w:pPr>
      <w:r>
        <w:rPr>
          <w:i/>
          <w:iCs/>
          <w:color w:val="2E74B5"/>
          <w:sz w:val="20"/>
          <w:szCs w:val="20"/>
        </w:rPr>
        <w:t xml:space="preserve">Filter-Bank CSP and Filter-Bank CCA Fused via Shrinkage-LDA, with a Feature-Selection Ablation and a 5-Subject Cohort Evaluation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Tecnológico de Monterrey, School of Engineering and Sciences</w:t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Technical Report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7FA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Abstract</w:t>
            </w:r>
          </w:p>
          <w:p>
            <w:pPr>
              <w:spacing w:after="130" w:line="264"/>
              <w:jc w:val="both"/>
            </w:pPr>
            <w:r>
              <w:rPr>
                <w:color w:val="262626"/>
                <w:sz w:val="20"/>
                <w:szCs w:val="20"/>
              </w:rPr>
              <w:t xml:space="preserve">We present and validate a complete, leakage-free classical pipeline for decoding 5-class Steady-State Visually Evoked Potentials (SSVEP) from 1.0 s EEG windows recorded with 7 occipital-parietal electrodes at 250 Hz. Raw signals pass through zero-phase IIR conditioning, a dual-tier artifact-quality gate, and two complementary feature branches — Filter-Bank Common Spatial Patterns (FBCSP, m=1, p=50) and Filter-Bank Canonical Correlation Analysis (FBCCA, p=5) — fused into a 55-dimensional hybrid vector classified with Ledoit-Wolf Shrinkage Linear Discriminant Analysis (LDA). All spatial filters and scalers are fit strictly in-fold under Stratified 5-Fold cross-validation. On a representative subject the pipeline reaches 90.36% instantaneous (1.0 s) and 95.43% trial-smoothed (2.0 s) accuracy; across a 5-subject cohort the mean is 83.33%/87.57%. A feature-selection ablation shows dimensionality can be cut by over 60% with under 2 points of accuracy loss, confirming that Shrinkage-LDA's analytical regularization makes hard feature truncation optional rather than necessary. Results are discussed against the SSVEP visual-paradigm literature.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Keywords: </w:t>
            </w:r>
            <w:r>
              <w:rPr>
                <w:i/>
                <w:iCs/>
                <w:color w:val="595959"/>
                <w:sz w:val="18"/>
                <w:szCs w:val="18"/>
              </w:rPr>
              <w:t xml:space="preserve">SSVEP, brain–computer interface, FBCSP, FBCCA, shrinkage-LDA, feature selection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Introduction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Brain-Computer Interfaces (BCI) based on Steady-State Visually Evoked Potentials (SSVEP) are attractive for communication and navigation applications because they require little or no user training and support high information-transfer rates (Chailloux Peguero et al., 2023). Performance, however, depends jointly on the visual stimulation design and the detection algorithm applied to the EEG. Building on evidence that Filter-Bank Canonical Correlation Analysis (FBCCA) is the strongest training-free detector among CCA, FBCCA and Minimum Energy Combination across multiple visual paradigms (Chailloux Peguero et al., 2023), this work designs a hybrid classical pipeline that pairs FBCCA with a complementary spatial-filtering branch (FBCSP) and asks three questions: (i) which classical feature space and classifier combination is strongest under a strict 1.0 s decision budget; (ii) how much can the resulting feature space be compressed before accuracy degrades; and (iii) how consistent is performance across subjects.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5 target frequencies used here (24.0, 20.0, 15.0, 10.9091 and 8.5714 Hz) are deliberately non-harmonically related, following the same rationale used to avoid cross-talk between targets in the reference SSVEP literature. All code, thresholds and hyperparameters described below correspond exactly to the implemented pipeline; no step is illustrative only.</w:t>
      </w: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Materials and Methods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70"/>
        <w:jc w:val="center"/>
      </w:pPr>
      <w:r>
        <w:rPr>
          <w:b/>
          <w:bCs/>
          <w:color w:val="1F3864"/>
          <w:sz w:val="17"/>
          <w:szCs w:val="17"/>
        </w:rPr>
        <w:t xml:space="preserve">Figure 1. </w:t>
      </w:r>
      <w:r>
        <w:rPr>
          <w:i/>
          <w:iCs/>
          <w:color w:val="595959"/>
          <w:sz w:val="17"/>
          <w:szCs w:val="17"/>
        </w:rPr>
        <w:t xml:space="preserve">End-to-end pipeline: acquisition → IIR conditioning → trial segmentation → artifact gate → dual feature branches (FBCSP / FBCCA) → hybrid fusion with in-fold scaling → Shrinkage-LDA → causal smoothing.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2.1 Acquisition and Signal Conditioning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Each subject's raw recording (.ebr) is loaded together with its sampling rate and channel list; a configured subset of 7 scalp electrodes and a marker channel are extracted. Every channel is conditioned with a zero-phase Butterworth bandpass (1–60 Hz, order 4, scipy.signal.filtfilt), which removes drift and high-frequency noise while preserving the phase information that FBCCA later depends on. Trials are segmented from the marker channel into three epoch types — a 1.0 s pre-stimulus cue baseline, a 5.0 s stimulation epoch per target (101–105), and a fixation-cross rest epoch — and each stimulation epoch is sliced into 5 consecutive 1.0 s sub-windows, the unit on which every subsequent stage operates.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2.2 Artifact Quality Control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Two independent thresholds are applied sequentially. At the raw sub-window stage, a looser gate rejects segments with peak-to-peak amplitude above 200 µV or standard deviation outside [0.5, 60.0] µV. Immediately before each feature extractor runs, a tighter, conjunctive per-channel gate requires every one of the 7 channels to satisfy Vₚₚ ∈ [0.5, 120.0] µV and σ ∈ [0.1, 35.0] µV simultaneously; a single failing channel discards the whole multichannel window. Filtered windows and labels are re-indexed jointly to guarantee alignment. All three feature extractors share this exact gate, and the resulting clean-window masks and labels were verified to be identical across branches before hybrid fusion.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2.3 Feature Extraction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Filter-Bank CSP (FBCSP, m=1). Clean windows are bandpass-decomposed into 5 sub-bands (7–12, 13–17, 18–26, 27–36, 38–52 Hz). Within each sub-band, a One-vs-Rest multiclass CSP is fit on a trace-normalized covariance,</w:t>
      </w:r>
    </w:p>
    <w:p>
      <w:pPr>
        <w:spacing w:after="90" w:before="90"/>
        <w:jc w:val="center"/>
      </w:pPr>
      <w:r>
        <w:rPr>
          <w:rFonts w:ascii="Cambria Math" w:cs="Cambria Math" w:eastAsia="Cambria Math" w:hAnsi="Cambria Math"/>
          <w:i/>
          <w:iCs/>
          <w:color w:val="262626"/>
          <w:sz w:val="20"/>
          <w:szCs w:val="20"/>
        </w:rPr>
        <w:t xml:space="preserve">Σ_i = (W_i W_iᵀ)/Tr(W_i W_iᵀ),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and, per class, the generalized eigenproblem between the target and (target+rest) covariance is solved (Tikhonov-regularized, ε=10⁻⁶), keeping only the extreme eigenvector pair (m=1). Log-variance of the projected signal, normalized within-window, gives 5 classes × 2 filters × 5 sub-bands = 50 features.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Filter-Bank CCA (FBCCA). Sinusoidal references with N</w:t>
      </w:r>
      <w:r>
        <w:rPr>
          <w:sz w:val="14"/>
          <w:szCs w:val="14"/>
          <w:vertAlign w:val="subscript"/>
        </w:rPr>
        <w:t xml:space="preserve">h</w:t>
      </w:r>
      <w:r>
        <w:rPr>
          <w:color w:val="262626"/>
          <w:sz w:val="20"/>
          <w:szCs w:val="20"/>
        </w:rPr>
        <w:t xml:space="preserve">=3 harmonics are built for each of the 5 target frequencies. Each window is passed through 3 Chebyshev Type-I sub-band filters (low cutoffs 6/14/22 Hz) and canonical correlation is computed against each reference; sub-band scores are integrated with a power-law weight w(b)=b⁻¹·²⁵+0.25, giving one correlation prior per target (p=5) — an unsupervised, training-free signal that complements the supervised spatial features.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Both branches feed a 55-dimensional hybrid vector; a continuous/harmonic PSD representation (p=210 / p=32) was also implemented as a spectral baseline for comparison (Section 3.1).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2.4 Feature Selection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Given the p=55 hybrid space, two in-fold filter methods were evaluated on the 50 FBCSP columns (the 5 FBCCA priors are always retained): ANOVA F-score and mutual information, each ranking features on the training fold only before selecting the top-k. A physiologically motivated sub-band pruning heuristic (dropping the 38–52 Hz band) and a Sequential Forward Selection run were evaluated for comparison (Section 3.3).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2.5 Classification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primary classifier is Linear Discriminant Analysis with Ledoit-Wolf analytical shrinkage (solver="lsqr", shrinkage="auto"), which regularizes the within-class scatter as</w:t>
      </w:r>
    </w:p>
    <w:p>
      <w:pPr>
        <w:spacing w:after="90" w:before="90"/>
        <w:jc w:val="center"/>
      </w:pPr>
      <w:r>
        <w:rPr>
          <w:rFonts w:ascii="Cambria Math" w:cs="Cambria Math" w:eastAsia="Cambria Math" w:hAnsi="Cambria Math"/>
          <w:i/>
          <w:iCs/>
          <w:color w:val="262626"/>
          <w:sz w:val="20"/>
          <w:szCs w:val="20"/>
        </w:rPr>
        <w:t xml:space="preserve">Σ_reg = (1−γ*)·S_w + γ*·ν·I_p ,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removing the need to hand-tune a shrinkage hyperparameter even as p approaches the per-fold sample size. Ten additional linear/discriminant models (Ridge, three penalized Logistic Regression variants, two SGD variants, standard LDA, an eigen-solver Shrinkage-LDA, and regularized QDA) were benchmarked alongside it; Shrinkage-LDA with the lsqr solver was consistently the strongest and is used throughout Section 3.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2.6 Evaluation Protocol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All reported numbers use Stratified 5-Fold cross-validation (random_state=42) with CSP filters and the StandardScaler fit strictly on the training fold — never on held-out data. Out-of-fold class probabilities are pooled across folds. Instantaneous accuracy is the per-window arg-max; a 2.0 s smoothed decision averages the current and immediately preceding probability vector, resetting every 5 sub-windows so no information crosses a trial boundary:</w:t>
      </w:r>
    </w:p>
    <w:p>
      <w:pPr>
        <w:spacing w:after="90" w:before="90"/>
        <w:jc w:val="center"/>
      </w:pPr>
      <w:r>
        <w:rPr>
          <w:rFonts w:ascii="Cambria Math" w:cs="Cambria Math" w:eastAsia="Cambria Math" w:hAnsi="Cambria Math"/>
          <w:i/>
          <w:iCs/>
          <w:color w:val="262626"/>
          <w:sz w:val="20"/>
          <w:szCs w:val="20"/>
        </w:rPr>
        <w:t xml:space="preserve">ȳⱼ = argmax_k { pⱼ(k)  if j mod 5=0 ;  avg(pⱼ₋₁(k), pⱼ(k))  otherwise }.</w:t>
      </w: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Results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3.1 Feature-Space and Model Selection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A cross-validated sweep across six feature spaces (continuous PSD p=210; harmonic PSD p=32; FBCCA p=5; harmonic PSD+FBCCA p=37; FBCSP p=50; FBCSP+FBCCA p=55) and the full model catalog (QDA excluded for high-dimensional rank failure) identified the FBCSP+FBCCA hybrid space with Shrinkage-LDA as the strongest configuration, clearly ahead of any single-domain space. A zero-training argmax on the raw FBCCA scores alone served as a lower-bound reference and was outperformed by every supervised configuration on the hybrid space.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3.2 Single-Subject Benchmark (Subject S03)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winning configuration reached </w:t>
      </w:r>
      <w:r>
        <w:rPr>
          <w:b/>
          <w:bCs/>
          <w:color w:val="2E7D32"/>
        </w:rPr>
        <w:t xml:space="preserve">90.36%</w:t>
      </w:r>
      <w:r>
        <w:rPr>
          <w:color w:val="262626"/>
          <w:sz w:val="20"/>
          <w:szCs w:val="20"/>
        </w:rPr>
        <w:t xml:space="preserve"> instantaneous (1.0 s) and </w:t>
      </w:r>
      <w:r>
        <w:rPr>
          <w:b/>
          <w:bCs/>
          <w:color w:val="2E7D32"/>
        </w:rPr>
        <w:t xml:space="preserve">95.43%</w:t>
      </w:r>
      <w:r>
        <w:rPr>
          <w:color w:val="262626"/>
          <w:sz w:val="20"/>
          <w:szCs w:val="20"/>
        </w:rPr>
        <w:t xml:space="preserve"> smoothed (2.0 s) accuracy on Subject S03 (197 clean windows, 3 rejected). Figure 2 (left panel) shows perfect precision on the 24.0 Hz target; the two lowest, closely spaced frequencies (10.9091 and 8.5714 Hz) account for essentially all residual confusion, consistent with their reduced spectral separation at a 1–2 s analysis length.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3.3 Feature Selection Ablation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500"/>
        <w:gridCol w:w="1500"/>
        <w:gridCol w:w="1900"/>
      </w:tblGrid>
      <w:tr>
        <w:trPr>
          <w:tblHeader/>
        </w:trPr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Selection Method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Dim. (p)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1.0 s (%)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2.0 s Smoothed (%)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Full baseline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55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90.36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95.43</w:t>
            </w:r>
          </w:p>
        </w:tc>
      </w:tr>
      <w:tr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Sub-band pruning (drop 38–52 Hz)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45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87.31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94.92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ANOVA F-score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25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86.29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94.42</w:t>
            </w:r>
          </w:p>
        </w:tc>
      </w:tr>
      <w:tr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Mutual information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25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87.82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93.40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Sequential forward selection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20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84.77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93.40</w:t>
            </w:r>
          </w:p>
        </w:tc>
      </w:tr>
    </w:tbl>
    <w:p>
      <w:pPr>
        <w:spacing w:after="200" w:before="70"/>
        <w:jc w:val="center"/>
      </w:pPr>
      <w:r>
        <w:rPr>
          <w:b/>
          <w:bCs/>
          <w:color w:val="1F3864"/>
          <w:sz w:val="17"/>
          <w:szCs w:val="17"/>
        </w:rPr>
        <w:t xml:space="preserve">Table 1. </w:t>
      </w:r>
      <w:r>
        <w:rPr>
          <w:i/>
          <w:iCs/>
          <w:color w:val="595959"/>
          <w:sz w:val="17"/>
          <w:szCs w:val="17"/>
        </w:rPr>
        <w:t xml:space="preserve">Ablation of the hybrid feature space (Subject S03). Even a 63.6% dimensionality cut (p=55→20) retains 93.40% smoothed accuracy, 2.0 points below baseline, reflecting Shrinkage-LDA's native regularization.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1"/>
          <w:szCs w:val="21"/>
        </w:rPr>
        <w:t xml:space="preserve">3.4 Multi-Subject Cohort (S01–S05)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winning pipeline was applied unchanged, with subject-specific 5-fold CV, across all five subjects: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500"/>
        <w:gridCol w:w="1850"/>
        <w:gridCol w:w="1850"/>
      </w:tblGrid>
      <w:tr>
        <w:trPr>
          <w:tblHeader/>
        </w:trPr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Clean Windows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Rejected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1.0 s Acc. (%)</w:t>
            </w:r>
          </w:p>
        </w:tc>
        <w:tc>
          <w:tcPr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2.0 s Smoothed (%)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S01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200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64.50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75.50</w:t>
            </w:r>
          </w:p>
        </w:tc>
      </w:tr>
      <w:tr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S02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196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3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66.33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71.94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S03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197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90.36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95.43</w:t>
            </w:r>
          </w:p>
        </w:tc>
      </w:tr>
      <w:tr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S04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197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1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98.98</w:t>
            </w:r>
          </w:p>
        </w:tc>
        <w:tc>
          <w:tcPr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98.48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S05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200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96.50</w:t>
            </w:r>
          </w:p>
        </w:tc>
        <w:tc>
          <w:tcPr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17"/>
                <w:szCs w:val="17"/>
              </w:rPr>
              <w:t xml:space="preserve">96.50</w:t>
            </w:r>
          </w:p>
        </w:tc>
      </w:tr>
      <w:tr>
        <w:tc>
          <w:tcPr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62626"/>
                <w:sz w:val="17"/>
                <w:szCs w:val="17"/>
              </w:rPr>
              <w:t xml:space="preserve">Mean</w:t>
            </w:r>
          </w:p>
        </w:tc>
        <w:tc>
          <w:tcPr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—</w:t>
            </w:r>
          </w:p>
        </w:tc>
        <w:tc>
          <w:tcPr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62626"/>
                <w:sz w:val="17"/>
                <w:szCs w:val="17"/>
              </w:rPr>
              <w:t xml:space="preserve">—</w:t>
            </w:r>
          </w:p>
        </w:tc>
        <w:tc>
          <w:tcPr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83.33</w:t>
            </w:r>
          </w:p>
        </w:tc>
        <w:tc>
          <w:tcPr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87.57</w:t>
            </w:r>
          </w:p>
        </w:tc>
      </w:tr>
    </w:tbl>
    <w:p>
      <w:pPr>
        <w:spacing w:after="200" w:before="70"/>
        <w:jc w:val="center"/>
      </w:pPr>
      <w:r>
        <w:rPr>
          <w:b/>
          <w:bCs/>
          <w:color w:val="1F3864"/>
          <w:sz w:val="17"/>
          <w:szCs w:val="17"/>
        </w:rPr>
        <w:t xml:space="preserve">Table 2. </w:t>
      </w:r>
      <w:r>
        <w:rPr>
          <w:i/>
          <w:iCs/>
          <w:color w:val="595959"/>
          <w:sz w:val="17"/>
          <w:szCs w:val="17"/>
        </w:rPr>
        <w:t xml:space="preserve">Per-subject clean windows, artifact rejection and accuracy. Cohort mean: 83.33% (1.0 s) / 87.57% (2.0 s smoothed).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70"/>
        <w:jc w:val="center"/>
      </w:pPr>
      <w:r>
        <w:rPr>
          <w:b/>
          <w:bCs/>
          <w:color w:val="1F3864"/>
          <w:sz w:val="17"/>
          <w:szCs w:val="17"/>
        </w:rPr>
        <w:t xml:space="preserve">Figure 2. </w:t>
      </w:r>
      <w:r>
        <w:rPr>
          <w:i/>
          <w:iCs/>
          <w:color w:val="595959"/>
          <w:sz w:val="17"/>
          <w:szCs w:val="17"/>
        </w:rPr>
        <w:t xml:space="preserve">Normalized confusion matrices, 2.0 s smoothed. Left to right: S01 (attenuated responder, 75.50%), S03 (mid-tier, 95.43%), S05 (high responder, 96.50%). Confusion concentrates on the 8.5714/10.9091 Hz pair in every subject; S01 additionally shows appreciable spread across all classes.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cohort separates into a high-responder tier (S03–S05, 95.4–98.5% smoothed) with well-separated occipital entrainment at all five frequencies, and an attenuated tier (S01–S02, 71.9–75.5% smoothed) consistent with the inter-subject variability (“BCI illiteracy”) reported broadly in the SSVEP literature; S01's zero rejected windows rule out a data-quality explanation. Smoothing recovers </w:t>
      </w:r>
      <w:r>
        <w:rPr>
          <w:b/>
          <w:bCs/>
        </w:rPr>
        <w:t xml:space="preserve">11.0</w:t>
      </w:r>
      <w:r>
        <w:rPr>
          <w:color w:val="262626"/>
          <w:sz w:val="20"/>
          <w:szCs w:val="20"/>
        </w:rPr>
        <w:t xml:space="preserve"> points for the weakest responder (S01) versus essentially nothing for the strongest (S04, −0.50), i.e. temporal integration compensates specifically where instantaneous decisions are noisiest.</w:t>
      </w: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Discussion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These results agree with Chailloux Peguero et al. (2023) on three points: FBCCA is confirmed as a strong training-free detector, motivating its use as one of the two feature branches here; the lowest, closely spaced target frequencies are the hardest to separate in both studies, while widely spaced high frequencies (here, 24 Hz) are essentially always correct; and peak detection performance is reached within about the first second of stimulation in both studies, supporting a 1.0 s primary decision window with a 2.0 s smoothed option reserved for latency-tolerant use cases. The two studies differ in that the reference work isolates the effect of visual-paradigm design (On-Off vs. Checkerboard, rectangular vs. sinusoidal modulation), metadata not available in the recordings used here; capturing it in future sessions would allow a direct replication of that comparison on this cohort.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The feature-selection ablation additionally shows that Ledoit-Wolf shrinkage, not manual dimensionality reduction, is the operative regularizer in this pipeline: a 63.6% smaller feature vector costs only 2 accuracy points, so feature selection here is best framed as an optional efficiency lever for real-time deployment rather than a requirement for generalization.</w:t>
      </w: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Conclusion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0"/>
          <w:szCs w:val="20"/>
        </w:rPr>
        <w:t xml:space="preserve">A leakage-free FBCSP (m=1) + FBCCA → Shrinkage-LDA pipeline reaches a 5-subject mean of 83.33% (1.0 s) / 87.57% (2.0 s smoothed) and should serve as the reference threshold before any deep-learning architecture is pursued.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0"/>
          <w:szCs w:val="20"/>
        </w:rPr>
        <w:t xml:space="preserve">Hybrid spatial + correlation features consistently beat any single-domain representation (PSD, FBCSP, or FBCCA alone) under a 1.0 s decision budget.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0"/>
          <w:szCs w:val="20"/>
        </w:rPr>
        <w:t xml:space="preserve">Dimensionality can be cut by &gt;60% with &lt;2 points of accuracy loss; feature selection is an efficiency choice, not a necessity, given Shrinkage-LDA's analytical regularization.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262626"/>
          <w:sz w:val="20"/>
          <w:szCs w:val="20"/>
        </w:rPr>
        <w:t xml:space="preserve">Inter-subject variability, not model or feature choice, is the dominant source of residual error; future work should target subject-specific calibration for attenuated responders.</w:t>
      </w:r>
    </w:p>
    <w:p>
      <w:pPr>
        <w:pStyle w:val="Heading1"/>
        <w:pBdr>
          <w:bottom w:val="single" w:color="2E74B5" w:sz="5" w:space="3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References</w:t>
      </w:r>
    </w:p>
    <w:p>
      <w:pPr>
        <w:spacing w:after="130" w:line="264"/>
        <w:jc w:val="both"/>
      </w:pPr>
      <w:r>
        <w:rPr>
          <w:color w:val="262626"/>
          <w:sz w:val="20"/>
          <w:szCs w:val="20"/>
        </w:rPr>
        <w:t xml:space="preserve">Chailloux Peguero, J. D., Hernández-Rojas, L. G., Mendoza-Montoya, O., Caraza, R., and Antelis, J. M. (2023). SSVEP detection assessment by combining visual stimuli paradigms and no-training detection methods. Frontiers in Neuroscience, 17:1142892. https://doi.org/10.3389/fnins.2023.1142892</w:t>
      </w:r>
    </w:p>
    <w:sectPr>
      <w:headerReference w:type="default" r:id="rId7"/>
      <w:footerReference w:type="default" r:id="rId8"/>
      <w:pgSz w:w="12240" w:h="15840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5"/>
        <w:szCs w:val="15"/>
      </w:rPr>
      <w:t xml:space="preserve">5-Class SSVEP Decoding under a 1.0 s Constraint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84a7401ad54aa500605d06b8eed8d7aa3764ffa.png"/><Relationship Id="rId10" Type="http://schemas.openxmlformats.org/officeDocument/2006/relationships/image" Target="media/3a893650c88815d50ddbb9b8f89a47978182d95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2026-09-11T06:11:21.559Z</dcterms:created>
  <dcterms:modified xsi:type="dcterms:W3CDTF">2026-09-11T06:11:21.567Z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