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88F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二</w:t>
      </w:r>
    </w:p>
    <w:p w14:paraId="211223E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需求</w:t>
      </w:r>
    </w:p>
    <w:p w14:paraId="4FF76400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需求法则</w:t>
      </w:r>
    </w:p>
    <w:p w14:paraId="60C4381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替代效应</w:t>
      </w:r>
    </w:p>
    <w:p w14:paraId="62A9310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收入效应</w:t>
      </w:r>
    </w:p>
    <w:p w14:paraId="0FCBF0B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替代品和互补品</w:t>
      </w:r>
    </w:p>
    <w:p w14:paraId="1DDE049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总收入（成功与否的标志）</w:t>
      </w:r>
    </w:p>
    <w:p w14:paraId="69627DC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弹性   分子：因变量</w:t>
      </w:r>
    </w:p>
    <w:p w14:paraId="0280173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点弹性弧弹性</w:t>
      </w:r>
    </w:p>
    <w:p w14:paraId="07080768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收入弹性</w:t>
      </w:r>
    </w:p>
    <w:p w14:paraId="5A10D38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吉芬商品</w:t>
      </w:r>
    </w:p>
    <w:p w14:paraId="528F11E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恩格尔系数</w:t>
      </w:r>
    </w:p>
    <w:p w14:paraId="55AFE81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洛伦茨曲线与Gini系数</w:t>
      </w:r>
    </w:p>
    <w:p w14:paraId="5866EA1B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交叉弹性</w:t>
      </w:r>
    </w:p>
    <w:p w14:paraId="7F2FF96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供给量</w:t>
      </w:r>
    </w:p>
    <w:p w14:paraId="6E7FDE5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供给定理(law of supply)</w:t>
      </w:r>
    </w:p>
    <w:p w14:paraId="3A81045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供给曲线(supply curve)</w:t>
      </w:r>
    </w:p>
    <w:p w14:paraId="029191D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供给价格弹性(Price elasticity of supply)</w:t>
      </w:r>
    </w:p>
    <w:p w14:paraId="2594E370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拇指规则</w:t>
      </w:r>
    </w:p>
    <w:p w14:paraId="5BE5FC9B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均衡(EQUILIBRIUM)</w:t>
      </w:r>
    </w:p>
    <w:p w14:paraId="2118AAA4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供给变动</w:t>
      </w:r>
    </w:p>
    <w:p w14:paraId="4A57115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税收(Tax)</w:t>
      </w:r>
    </w:p>
    <w:p w14:paraId="09424168" w14:textId="77777777" w:rsidR="00C33B8A" w:rsidRDefault="00C33B8A" w:rsidP="00C33B8A">
      <w:pPr>
        <w:rPr>
          <w:rFonts w:hint="eastAsia"/>
        </w:rPr>
      </w:pPr>
    </w:p>
    <w:p w14:paraId="4DD3E8BB" w14:textId="77777777" w:rsidR="00C33B8A" w:rsidRDefault="00C33B8A" w:rsidP="00C33B8A">
      <w:pPr>
        <w:rPr>
          <w:rFonts w:hint="eastAsia"/>
        </w:rPr>
      </w:pPr>
    </w:p>
    <w:p w14:paraId="55941F6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三</w:t>
      </w:r>
    </w:p>
    <w:p w14:paraId="2E84B71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预算约束(THE BUDGET CONSTRAINT)</w:t>
      </w:r>
    </w:p>
    <w:p w14:paraId="3470A19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预算约束线的斜率(Slope)</w:t>
      </w:r>
    </w:p>
    <w:p w14:paraId="5FF39BC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lastRenderedPageBreak/>
        <w:t>Utility</w:t>
      </w:r>
    </w:p>
    <w:p w14:paraId="1FAB380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偏好(PREFERENCES)</w:t>
      </w:r>
    </w:p>
    <w:p w14:paraId="0690E9CB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效用最大化</w:t>
      </w:r>
    </w:p>
    <w:p w14:paraId="0065B94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总效用TU</w:t>
      </w:r>
    </w:p>
    <w:p w14:paraId="5981E34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边际效用</w:t>
      </w:r>
    </w:p>
    <w:p w14:paraId="66F84E9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基数cardinal效用论</w:t>
      </w:r>
    </w:p>
    <w:p w14:paraId="5EEBE97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边际效用递减规律The law of diminishing marginal utility </w:t>
      </w:r>
    </w:p>
    <w:p w14:paraId="1B698388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无差异曲线(INDIFFERENCE CURVES)</w:t>
      </w:r>
    </w:p>
    <w:p w14:paraId="39E7BC7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边际替代率 (MRS):  </w:t>
      </w:r>
    </w:p>
    <w:p w14:paraId="0A35123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完全替代品(Perfect Substitutes)</w:t>
      </w:r>
    </w:p>
    <w:p w14:paraId="3107C528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完全互补品(Perfect Complements</w:t>
      </w:r>
    </w:p>
    <w:p w14:paraId="122363D4" w14:textId="77777777" w:rsidR="00C33B8A" w:rsidRDefault="00C33B8A" w:rsidP="00C33B8A">
      <w:pPr>
        <w:rPr>
          <w:rFonts w:hint="eastAsia"/>
        </w:rPr>
      </w:pPr>
    </w:p>
    <w:p w14:paraId="72B97CC0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四</w:t>
      </w:r>
    </w:p>
    <w:p w14:paraId="50F3CF8E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企业组织(Business Organization</w:t>
      </w:r>
    </w:p>
    <w:p w14:paraId="346E538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Variable input:</w:t>
      </w:r>
    </w:p>
    <w:p w14:paraId="07872CD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Fixed input</w:t>
      </w:r>
    </w:p>
    <w:p w14:paraId="67CF58C4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Short run</w:t>
      </w:r>
    </w:p>
    <w:p w14:paraId="188D474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Long run平均产量</w:t>
      </w:r>
    </w:p>
    <w:p w14:paraId="7EF4FE4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边际产量递减</w:t>
      </w:r>
    </w:p>
    <w:p w14:paraId="17CB070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边际产量收入</w:t>
      </w:r>
    </w:p>
    <w:p w14:paraId="62D9D52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等产量曲线</w:t>
      </w:r>
    </w:p>
    <w:p w14:paraId="59D4620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利润最大化必要条件</w:t>
      </w:r>
    </w:p>
    <w:p w14:paraId="43C0E32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边际技术替代率</w:t>
      </w:r>
    </w:p>
    <w:p w14:paraId="59D8509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生产者均衡 </w:t>
      </w:r>
    </w:p>
    <w:p w14:paraId="5A98E53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规模收益</w:t>
      </w:r>
    </w:p>
    <w:p w14:paraId="369E041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规模收益不变</w:t>
      </w:r>
    </w:p>
    <w:p w14:paraId="6710888D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规模收益递增</w:t>
      </w:r>
    </w:p>
    <w:p w14:paraId="0053760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lastRenderedPageBreak/>
        <w:t>规模收益递减</w:t>
      </w:r>
    </w:p>
    <w:p w14:paraId="1CE36DC4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范围经济性 (Economies of scope)</w:t>
      </w:r>
    </w:p>
    <w:p w14:paraId="5BF6CAC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聚集经济性 (Aggregation economy)</w:t>
      </w:r>
    </w:p>
    <w:p w14:paraId="25CDFC9A" w14:textId="77777777" w:rsidR="00C33B8A" w:rsidRDefault="00C33B8A" w:rsidP="00C33B8A">
      <w:pPr>
        <w:rPr>
          <w:rFonts w:hint="eastAsia"/>
        </w:rPr>
      </w:pPr>
    </w:p>
    <w:p w14:paraId="6A605E4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五</w:t>
      </w:r>
    </w:p>
    <w:p w14:paraId="0E0DF528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机会成本（opportunity cost）</w:t>
      </w:r>
    </w:p>
    <w:p w14:paraId="4882C2D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外显成本（Explicit cost）</w:t>
      </w:r>
    </w:p>
    <w:p w14:paraId="5B78AA1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内含成本（Implicit cost）</w:t>
      </w:r>
    </w:p>
    <w:p w14:paraId="3F22DA60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沉没成本（Sunk Cost）</w:t>
      </w:r>
    </w:p>
    <w:p w14:paraId="3720656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增量成本</w:t>
      </w:r>
    </w:p>
    <w:p w14:paraId="70DFC430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边际成本</w:t>
      </w:r>
    </w:p>
    <w:p w14:paraId="53764B1D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会计利润(Economic profit)</w:t>
      </w:r>
    </w:p>
    <w:p w14:paraId="7C2C841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经济利润(Accounting profit)</w:t>
      </w:r>
    </w:p>
    <w:p w14:paraId="52D4E13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正常利润</w:t>
      </w:r>
    </w:p>
    <w:p w14:paraId="4BD0D9E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总成本(Total Cost)</w:t>
      </w:r>
    </w:p>
    <w:p w14:paraId="2644C52B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总变动成本(Total  Variable Cost)</w:t>
      </w:r>
    </w:p>
    <w:p w14:paraId="374CD05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总固定成本(Total  fixed Cost)</w:t>
      </w:r>
    </w:p>
    <w:p w14:paraId="18E0C17E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平均总成本(Average Cost)</w:t>
      </w:r>
    </w:p>
    <w:p w14:paraId="016BC13D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长期成本函数</w:t>
      </w:r>
    </w:p>
    <w:p w14:paraId="1DE0F90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利润贡献：Profit Contribution</w:t>
      </w:r>
    </w:p>
    <w:p w14:paraId="5ABF7B4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经营杠杆 (Operating leverage)</w:t>
      </w:r>
    </w:p>
    <w:p w14:paraId="7EE86AE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利润弹性 (profit elasticity)</w:t>
      </w:r>
    </w:p>
    <w:p w14:paraId="355A12DC" w14:textId="77777777" w:rsidR="00C33B8A" w:rsidRDefault="00C33B8A" w:rsidP="00C33B8A">
      <w:pPr>
        <w:rPr>
          <w:rFonts w:hint="eastAsia"/>
        </w:rPr>
      </w:pPr>
    </w:p>
    <w:p w14:paraId="5B924DF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六</w:t>
      </w:r>
    </w:p>
    <w:p w14:paraId="16C6314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市场分为4类：</w:t>
      </w:r>
    </w:p>
    <w:p w14:paraId="4C5E741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产品差异性 (Product differentiation)</w:t>
      </w:r>
    </w:p>
    <w:p w14:paraId="5E98B91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完全竞争 (Perfect Competition)</w:t>
      </w:r>
    </w:p>
    <w:p w14:paraId="2401E20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lastRenderedPageBreak/>
        <w:t>利润最大化必要条件</w:t>
      </w:r>
    </w:p>
    <w:p w14:paraId="774805BE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 亏损和关厂决策</w:t>
      </w:r>
    </w:p>
    <w:p w14:paraId="211151D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短期供给曲线</w:t>
      </w:r>
    </w:p>
    <w:p w14:paraId="307E97A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长期均衡条件</w:t>
      </w:r>
    </w:p>
    <w:p w14:paraId="038BB72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消费者剩余</w:t>
      </w:r>
    </w:p>
    <w:p w14:paraId="21FD5D4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垄断 (Monopoly)</w:t>
      </w:r>
    </w:p>
    <w:p w14:paraId="0FF15DE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勒纳指数Lerner Index</w:t>
      </w:r>
    </w:p>
    <w:p w14:paraId="39ABC48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分配性低效率allocative inefficiency </w:t>
      </w:r>
    </w:p>
    <w:p w14:paraId="0D9F3A9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技术性低效率 (Technical Inefficiency)</w:t>
      </w:r>
    </w:p>
    <w:p w14:paraId="3096D07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寻租 (Rent Seeking)</w:t>
      </w:r>
    </w:p>
    <w:p w14:paraId="24C89F34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自然垄断 (Natural Monopoly)</w:t>
      </w:r>
    </w:p>
    <w:p w14:paraId="3F906149" w14:textId="77777777" w:rsidR="00C33B8A" w:rsidRDefault="00C33B8A" w:rsidP="00C33B8A">
      <w:pPr>
        <w:rPr>
          <w:rFonts w:hint="eastAsia"/>
        </w:rPr>
      </w:pPr>
    </w:p>
    <w:p w14:paraId="20F10DBB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七</w:t>
      </w:r>
    </w:p>
    <w:p w14:paraId="5AA87B1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垄断性竞争（Monopolistic Competition）  定义与特点</w:t>
      </w:r>
    </w:p>
    <w:p w14:paraId="0C8768D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寡头垄断（Oligopoly）</w:t>
      </w:r>
    </w:p>
    <w:p w14:paraId="41CCE1A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DD曲线proportional 比例需求曲线</w:t>
      </w:r>
    </w:p>
    <w:p w14:paraId="6BF8D72B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dd曲线subjective </w:t>
      </w:r>
    </w:p>
    <w:p w14:paraId="44638C39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古尔诺模型（Cournot Model）</w:t>
      </w:r>
    </w:p>
    <w:p w14:paraId="3A074D6F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策略 (Strategy)</w:t>
      </w:r>
    </w:p>
    <w:p w14:paraId="4532764A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收益 (Payoff)</w:t>
      </w:r>
    </w:p>
    <w:p w14:paraId="3BF0BBFE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纳什均衡 (Nash Equilibrium)</w:t>
      </w:r>
    </w:p>
    <w:p w14:paraId="1D68C13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支配性策略 (Dominant Strategy)</w:t>
      </w:r>
    </w:p>
    <w:p w14:paraId="56C9087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被支配策略（Dominated Strategy）</w:t>
      </w:r>
    </w:p>
    <w:p w14:paraId="79567A85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最大最小策略maxi_min strategy</w:t>
      </w:r>
    </w:p>
    <w:p w14:paraId="05A7307D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混合策略纳什均衡Mixed Strategy Nash Equilibrium</w:t>
      </w:r>
    </w:p>
    <w:p w14:paraId="79FBDBBC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纯策略 (Pure Strategy)</w:t>
      </w:r>
    </w:p>
    <w:p w14:paraId="4E29C191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非合作性博弈（noncooperative game）</w:t>
      </w:r>
    </w:p>
    <w:p w14:paraId="32F3C4B3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lastRenderedPageBreak/>
        <w:t>重复性博弈（repeated game）</w:t>
      </w:r>
    </w:p>
    <w:p w14:paraId="4CCDC584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顺序性博弈（sequential game）</w:t>
      </w:r>
    </w:p>
    <w:p w14:paraId="0D1F458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进入障碍（Barriers to Entry）</w:t>
      </w:r>
    </w:p>
    <w:p w14:paraId="03BB0717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*开放型寡头垄断模型</w:t>
      </w:r>
    </w:p>
    <w:p w14:paraId="390BB5ED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信号传递博弈（Signaling Game）</w:t>
      </w:r>
    </w:p>
    <w:p w14:paraId="114F2442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坏名声的价值</w:t>
      </w:r>
    </w:p>
    <w:p w14:paraId="242EC5AE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广告决策的目的</w:t>
      </w:r>
    </w:p>
    <w:p w14:paraId="3162658D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全部成本定价法（Full Cost Pricing）</w:t>
      </w:r>
    </w:p>
    <w:p w14:paraId="26DE94B0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 xml:space="preserve"> 增量成本定价法（Incremental Cost Pricing）</w:t>
      </w:r>
    </w:p>
    <w:p w14:paraId="43FADBD6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拉姆齐定价法（Ramsey Pricing</w:t>
      </w:r>
    </w:p>
    <w:p w14:paraId="09D0678E" w14:textId="77777777" w:rsidR="00C33B8A" w:rsidRDefault="00C33B8A" w:rsidP="00C33B8A">
      <w:pPr>
        <w:rPr>
          <w:rFonts w:hint="eastAsia"/>
        </w:rPr>
      </w:pPr>
      <w:r>
        <w:rPr>
          <w:rFonts w:hint="eastAsia"/>
        </w:rPr>
        <w:t>差别定价法（price discrimination）</w:t>
      </w:r>
    </w:p>
    <w:p w14:paraId="4DC92646" w14:textId="1B2158A7" w:rsidR="00C33B8A" w:rsidRDefault="00C33B8A" w:rsidP="00C33B8A">
      <w:pPr>
        <w:rPr>
          <w:rFonts w:hint="eastAsia"/>
        </w:rPr>
      </w:pPr>
      <w:r>
        <w:rPr>
          <w:rFonts w:hint="eastAsia"/>
        </w:rPr>
        <w:t>成本加成定价法（Cost-plus Pricing）</w:t>
      </w:r>
    </w:p>
    <w:sectPr w:rsidR="00C33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959F" w14:textId="77777777" w:rsidR="002260AB" w:rsidRDefault="002260AB" w:rsidP="00DB74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0581CF" w14:textId="77777777" w:rsidR="002260AB" w:rsidRDefault="002260AB" w:rsidP="00DB74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AEB3" w14:textId="77777777" w:rsidR="002260AB" w:rsidRDefault="002260AB" w:rsidP="00DB74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FFB2E9" w14:textId="77777777" w:rsidR="002260AB" w:rsidRDefault="002260AB" w:rsidP="00DB74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8A"/>
    <w:rsid w:val="002260AB"/>
    <w:rsid w:val="00BB0B58"/>
    <w:rsid w:val="00C33B8A"/>
    <w:rsid w:val="00DB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4EEEC"/>
  <w15:chartTrackingRefBased/>
  <w15:docId w15:val="{55163508-B96D-43D0-A890-5D3DB7CB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B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B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B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B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B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B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B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B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3B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B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3B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3B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B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3B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B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B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B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B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3B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74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74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74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74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560</Words>
  <Characters>1249</Characters>
  <Application>Microsoft Office Word</Application>
  <DocSecurity>0</DocSecurity>
  <Lines>96</Lines>
  <Paragraphs>129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p</dc:creator>
  <cp:keywords/>
  <dc:description/>
  <cp:lastModifiedBy>c p</cp:lastModifiedBy>
  <cp:revision>2</cp:revision>
  <dcterms:created xsi:type="dcterms:W3CDTF">2026-04-19T05:05:00Z</dcterms:created>
  <dcterms:modified xsi:type="dcterms:W3CDTF">2026-04-19T05:05:00Z</dcterms:modified>
</cp:coreProperties>
</file>