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A847E">
      <w:pPr>
        <w:jc w:val="center"/>
      </w:pPr>
      <w:r>
        <w:rPr>
          <w:b/>
          <w:color w:val="1F4E79"/>
          <w:sz w:val="40"/>
        </w:rPr>
        <w:t>ISE 333: User Interface Development (Design)</w:t>
      </w:r>
    </w:p>
    <w:p w14:paraId="227052F9">
      <w:pPr>
        <w:jc w:val="center"/>
      </w:pPr>
      <w:r>
        <w:rPr>
          <w:b/>
          <w:sz w:val="36"/>
        </w:rPr>
        <w:t>期末复习全知识点整理（中英双语）</w:t>
      </w:r>
      <w:r>
        <w:rPr>
          <w:b/>
          <w:sz w:val="36"/>
        </w:rPr>
        <w:br w:type="textWrapping"/>
      </w:r>
      <w:r>
        <w:rPr>
          <w:b/>
          <w:sz w:val="36"/>
        </w:rPr>
        <w:t>Comprehensive Bilingual Final Review Guide</w:t>
      </w:r>
    </w:p>
    <w:p w14:paraId="3AEE087C">
      <w:pPr>
        <w:jc w:val="center"/>
      </w:pPr>
      <w:r>
        <w:rPr>
          <w:color w:val="5A5A5A"/>
          <w:sz w:val="20"/>
        </w:rPr>
        <w:t>依据：Spring 2026 课程教学 PPT、课程安排页与 Quiz 1 图片</w:t>
      </w:r>
      <w:r>
        <w:rPr>
          <w:color w:val="5A5A5A"/>
          <w:sz w:val="20"/>
        </w:rPr>
        <w:br w:type="textWrapping"/>
      </w:r>
      <w:r>
        <w:rPr>
          <w:color w:val="5A5A5A"/>
          <w:sz w:val="20"/>
        </w:rPr>
        <w:t>Scope: only claims supported by the uploaded teaching materials</w:t>
      </w:r>
    </w:p>
    <w:p w14:paraId="08824F7F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2"/>
      </w:tblGrid>
      <w:tr w14:paraId="38F15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82" w:type="dxa"/>
            <w:shd w:val="clear" w:color="auto" w:fill="EAF3F8"/>
          </w:tcPr>
          <w:p w14:paraId="6A8CD11C">
            <w:pPr>
              <w:spacing w:after="0" w:line="240" w:lineRule="auto"/>
            </w:pPr>
            <w:r>
              <w:rPr>
                <w:b/>
                <w:color w:val="1F4E79"/>
              </w:rPr>
              <w:t>使用说明 / How to use this guide</w:t>
            </w:r>
          </w:p>
          <w:p w14:paraId="643BCDB6">
            <w:pPr>
              <w:pStyle w:val="16"/>
              <w:spacing w:after="0" w:line="240" w:lineRule="auto"/>
            </w:pPr>
            <w:r>
              <w:t>中文用于理解与答题表达；英文保留课程术语，建议优先背诵加粗术语。</w:t>
            </w:r>
          </w:p>
          <w:p w14:paraId="24758979">
            <w:pPr>
              <w:pStyle w:val="16"/>
              <w:spacing w:after="0" w:line="240" w:lineRule="auto"/>
            </w:pPr>
            <w:r>
              <w:t>每章按“概念—设计意义—关键规则/框架—可考问法”组织。未上传的 Chapter 5 课件不补写、不推测。</w:t>
            </w:r>
          </w:p>
          <w:p w14:paraId="182F7E87">
            <w:pPr>
              <w:pStyle w:val="16"/>
              <w:spacing w:after="0" w:line="240" w:lineRule="auto"/>
            </w:pPr>
            <w:r>
              <w:t>所有“期末范围与占比”判断均明确区分：课程已明示内容 vs. 基于课程安排的推断。</w:t>
            </w:r>
          </w:p>
        </w:tc>
      </w:tr>
    </w:tbl>
    <w:p w14:paraId="39BB5382">
      <w:pPr>
        <w:spacing w:after="20"/>
      </w:pPr>
    </w:p>
    <w:p w14:paraId="519624B6">
      <w:pPr>
        <w:pStyle w:val="3"/>
      </w:pPr>
      <w:r>
        <w:t>0. 课程结构、资料边界与总复习策略 / Course Structure</w:t>
      </w:r>
    </w:p>
    <w:p w14:paraId="7F468ACC">
      <w:pPr>
        <w:spacing w:after="40"/>
      </w:pPr>
      <w:r>
        <w:t>课程教材为 Ben Shneiderman, Designing the User Interface, 6th ed. (2018)。课程强调教学 PPT 是“记忆型考点”的唯一基线；应用型题可以换用新案例，但只能调用 PPT 中出现的知识。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7"/>
        <w:gridCol w:w="3427"/>
        <w:gridCol w:w="3427"/>
      </w:tblGrid>
      <w:tr w14:paraId="6B071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shd w:val="clear" w:color="auto" w:fill="D9EAF7"/>
            <w:vAlign w:val="top"/>
          </w:tcPr>
          <w:p w14:paraId="56A093D9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课程阶段 / Stage</w:t>
            </w:r>
          </w:p>
        </w:tc>
        <w:tc>
          <w:tcPr>
            <w:tcW w:w="3427" w:type="dxa"/>
            <w:shd w:val="clear" w:color="auto" w:fill="D9EAF7"/>
            <w:vAlign w:val="top"/>
          </w:tcPr>
          <w:p w14:paraId="1A5C42B2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章节 / Chapters</w:t>
            </w:r>
          </w:p>
        </w:tc>
        <w:tc>
          <w:tcPr>
            <w:tcW w:w="3427" w:type="dxa"/>
            <w:shd w:val="clear" w:color="auto" w:fill="D9EAF7"/>
            <w:vAlign w:val="top"/>
          </w:tcPr>
          <w:p w14:paraId="7CA3CAE8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学习核心 / Main purpose</w:t>
            </w:r>
          </w:p>
        </w:tc>
      </w:tr>
      <w:tr w14:paraId="500EE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37F98305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前半段</w:t>
            </w:r>
          </w:p>
        </w:tc>
        <w:tc>
          <w:tcPr>
            <w:tcW w:w="3427" w:type="dxa"/>
            <w:vAlign w:val="top"/>
          </w:tcPr>
          <w:p w14:paraId="13D1E926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Ch.1–4（另有 Ch.5 Evaluation，未上传）</w:t>
            </w:r>
          </w:p>
        </w:tc>
        <w:tc>
          <w:tcPr>
            <w:tcW w:w="3427" w:type="dxa"/>
            <w:vAlign w:val="top"/>
          </w:tcPr>
          <w:p w14:paraId="1B7D3D1E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基础概念、普适可用性、知识层级、设计流程</w:t>
            </w:r>
          </w:p>
        </w:tc>
      </w:tr>
      <w:tr w14:paraId="07B42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365B46AF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中段</w:t>
            </w:r>
          </w:p>
        </w:tc>
        <w:tc>
          <w:tcPr>
            <w:tcW w:w="3427" w:type="dxa"/>
            <w:vAlign w:val="top"/>
          </w:tcPr>
          <w:p w14:paraId="5259D8BF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Ch.7–9</w:t>
            </w:r>
          </w:p>
        </w:tc>
        <w:tc>
          <w:tcPr>
            <w:tcW w:w="3427" w:type="dxa"/>
            <w:vAlign w:val="top"/>
          </w:tcPr>
          <w:p w14:paraId="678F99F5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交互风格：直接操控、导航/表单/对话框、语音与命令语言</w:t>
            </w:r>
          </w:p>
        </w:tc>
      </w:tr>
      <w:tr w14:paraId="38E65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5D6AE4B0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后半段</w:t>
            </w:r>
          </w:p>
        </w:tc>
        <w:tc>
          <w:tcPr>
            <w:tcW w:w="3427" w:type="dxa"/>
            <w:vAlign w:val="top"/>
          </w:tcPr>
          <w:p w14:paraId="1CB246D9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Ch.10–12, Ch.14–16</w:t>
            </w:r>
          </w:p>
        </w:tc>
        <w:tc>
          <w:tcPr>
            <w:tcW w:w="3427" w:type="dxa"/>
            <w:vAlign w:val="top"/>
          </w:tcPr>
          <w:p w14:paraId="10900C00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设备、协作、UX、文档支持、搜索、数据可视化</w:t>
            </w:r>
          </w:p>
        </w:tc>
      </w:tr>
    </w:tbl>
    <w:p w14:paraId="6A01485E">
      <w:pPr>
        <w:spacing w:after="2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2"/>
      </w:tblGrid>
      <w:tr w14:paraId="43C86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82" w:type="dxa"/>
            <w:shd w:val="clear" w:color="auto" w:fill="EAF3F8"/>
          </w:tcPr>
          <w:p w14:paraId="3E8E6A4F">
            <w:pPr>
              <w:spacing w:after="0" w:line="240" w:lineRule="auto"/>
            </w:pPr>
            <w:r>
              <w:rPr>
                <w:b/>
                <w:color w:val="1F4E79"/>
              </w:rPr>
              <w:t>高频答题总框架 / General answer frame</w:t>
            </w:r>
          </w:p>
          <w:p w14:paraId="6960E209">
            <w:pPr>
              <w:pStyle w:val="16"/>
              <w:spacing w:after="0" w:line="240" w:lineRule="auto"/>
            </w:pPr>
            <w:r>
              <w:t>先写用户与任务：Who are the users? What tasks, frequency, context, and constraints?</w:t>
            </w:r>
          </w:p>
          <w:p w14:paraId="2319DA01">
            <w:pPr>
              <w:pStyle w:val="16"/>
              <w:spacing w:after="0" w:line="240" w:lineRule="auto"/>
            </w:pPr>
            <w:r>
              <w:t>再写可用性目标与指标：time to learn, performance speed/quality, error rate, retention, satisfaction。</w:t>
            </w:r>
          </w:p>
          <w:p w14:paraId="3A802201">
            <w:pPr>
              <w:pStyle w:val="16"/>
              <w:spacing w:after="0" w:line="240" w:lineRule="auto"/>
            </w:pPr>
            <w:r>
              <w:t>然后说明设计取舍：不同用户、任务与平台之间常有 forced tradeoffs；不要声称所有指标能同时最优。</w:t>
            </w:r>
          </w:p>
          <w:p w14:paraId="123F77B9">
            <w:pPr>
              <w:pStyle w:val="16"/>
              <w:spacing w:after="0" w:line="240" w:lineRule="auto"/>
            </w:pPr>
            <w:r>
              <w:t>最后给出可验证方案：requirements/use cases → prototype → evaluation → iterative refinement。</w:t>
            </w:r>
          </w:p>
        </w:tc>
      </w:tr>
    </w:tbl>
    <w:p w14:paraId="41D3342D">
      <w:pPr>
        <w:spacing w:after="20"/>
      </w:pPr>
    </w:p>
    <w:p w14:paraId="52C1EDB4">
      <w:r>
        <w:br w:type="page"/>
      </w:r>
    </w:p>
    <w:p w14:paraId="73BA00DB">
      <w:pPr>
        <w:pStyle w:val="3"/>
      </w:pPr>
      <w:bookmarkStart w:id="0" w:name="_GoBack"/>
      <w:bookmarkEnd w:id="0"/>
      <w:r>
        <w:t>Chapter 1 — Usability of Interactive Systems</w:t>
      </w:r>
    </w:p>
    <w:p w14:paraId="1BA01853">
      <w:pPr>
        <w:spacing w:after="40"/>
      </w:pPr>
      <w:r>
        <w:rPr>
          <w:i/>
          <w:color w:val="5A5A5A"/>
        </w:rPr>
        <w:t>交互系统可用性 / 基础、目标、度量、动机</w:t>
      </w:r>
    </w:p>
    <w:p w14:paraId="057C6765">
      <w:pPr>
        <w:pStyle w:val="4"/>
      </w:pPr>
      <w:r>
        <w:t>1.1 UI、UID 与 HCI / Core definitions</w:t>
      </w:r>
    </w:p>
    <w:p w14:paraId="5B729908">
      <w:pPr>
        <w:pStyle w:val="16"/>
        <w:spacing w:after="20"/>
      </w:pPr>
      <w:r>
        <w:rPr>
          <w:b/>
        </w:rPr>
        <w:t xml:space="preserve">User Interface (UI) 用户界面 — </w:t>
      </w:r>
      <w:r>
        <w:t>用户与系统交互、并由系统向用户提供服务的媒介/全部交互要素。课程以计算机系统为重点，但该本质也可迁移到机械、交通、行政、文化等系统。</w:t>
      </w:r>
      <w:r>
        <w:rPr>
          <w:i/>
        </w:rPr>
        <w:t xml:space="preserve"> / The medium/media and elements through which users interact with a system and receive its services.</w:t>
      </w:r>
    </w:p>
    <w:p w14:paraId="25C358DD">
      <w:pPr>
        <w:pStyle w:val="16"/>
        <w:spacing w:after="20"/>
      </w:pPr>
      <w:r>
        <w:rPr>
          <w:b/>
        </w:rPr>
        <w:t xml:space="preserve">UID / User Interface Development (Design) — </w:t>
      </w:r>
      <w:r>
        <w:t>用户界面开发/设计。核心不是“给系统加功能”，而是让技术服务真实的人类需求，使产品易学、可理解、效率高。</w:t>
      </w:r>
      <w:r>
        <w:rPr>
          <w:i/>
        </w:rPr>
        <w:t xml:space="preserve"> / Designing digital artifacts that facilitate human needs, not merely expose functions.</w:t>
      </w:r>
    </w:p>
    <w:p w14:paraId="654DC442">
      <w:pPr>
        <w:pStyle w:val="16"/>
        <w:spacing w:after="20"/>
      </w:pPr>
      <w:r>
        <w:rPr>
          <w:b/>
        </w:rPr>
        <w:t xml:space="preserve">HCI / Human-Computer Interaction — </w:t>
      </w:r>
      <w:r>
        <w:t>人机交互是跨学科领域：实验心理学 + 计算机科学，并吸收教育/工业心理、教学与图形设计、技术写作、人因工程、社会学与人类学。</w:t>
      </w:r>
      <w:r>
        <w:rPr>
          <w:i/>
        </w:rPr>
        <w:t xml:space="preserve"> / An interdisciplinary field combining computing with experimental psychology and related disciplines.</w:t>
      </w:r>
    </w:p>
    <w:p w14:paraId="57681E9A">
      <w:pPr>
        <w:pStyle w:val="16"/>
        <w:spacing w:after="20"/>
      </w:pPr>
      <w:r>
        <w:rPr>
          <w:b/>
        </w:rPr>
        <w:t xml:space="preserve">UI 的社会价值 — </w:t>
      </w:r>
      <w:r>
        <w:t>优秀 UI 能改善个人任务（医疗诊断、航空、学习等）与社会协作（更充分的信息、透明治理、公共参与）；但设计者也应意识到隐私、分心、关系质量等潜在负面后果。</w:t>
      </w:r>
      <w:r>
        <w:rPr>
          <w:i/>
        </w:rPr>
        <w:t xml:space="preserve"> / UI affects both individual effectiveness and societal outcomes.</w:t>
      </w:r>
    </w:p>
    <w:p w14:paraId="4B2D2CBB">
      <w:pPr>
        <w:pStyle w:val="4"/>
      </w:pPr>
      <w:r>
        <w:t>1.2 Three primary usability goals / 三个一级目标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7"/>
        <w:gridCol w:w="3427"/>
        <w:gridCol w:w="3427"/>
      </w:tblGrid>
      <w:tr w14:paraId="4BE11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shd w:val="clear" w:color="auto" w:fill="D9EAF7"/>
            <w:vAlign w:val="top"/>
          </w:tcPr>
          <w:p w14:paraId="3A5D45A7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Term</w:t>
            </w:r>
          </w:p>
        </w:tc>
        <w:tc>
          <w:tcPr>
            <w:tcW w:w="3427" w:type="dxa"/>
            <w:shd w:val="clear" w:color="auto" w:fill="D9EAF7"/>
            <w:vAlign w:val="top"/>
          </w:tcPr>
          <w:p w14:paraId="032B877A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中文解释</w:t>
            </w:r>
          </w:p>
        </w:tc>
        <w:tc>
          <w:tcPr>
            <w:tcW w:w="3427" w:type="dxa"/>
            <w:shd w:val="clear" w:color="auto" w:fill="D9EAF7"/>
            <w:vAlign w:val="top"/>
          </w:tcPr>
          <w:p w14:paraId="306FB246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考试区分点</w:t>
            </w:r>
          </w:p>
        </w:tc>
      </w:tr>
      <w:tr w14:paraId="70098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7ABBBD92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Usability 可用性</w:t>
            </w:r>
          </w:p>
        </w:tc>
        <w:tc>
          <w:tcPr>
            <w:tcW w:w="3427" w:type="dxa"/>
            <w:vAlign w:val="top"/>
          </w:tcPr>
          <w:p w14:paraId="60F0DBC6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界面是否容易、有效、满意地完成任务。</w:t>
            </w:r>
          </w:p>
        </w:tc>
        <w:tc>
          <w:tcPr>
            <w:tcW w:w="3427" w:type="dxa"/>
            <w:vAlign w:val="top"/>
          </w:tcPr>
          <w:p w14:paraId="60C7F296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不是“好看”或“独特”的同义词。</w:t>
            </w:r>
          </w:p>
        </w:tc>
      </w:tr>
      <w:tr w14:paraId="5B67C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05EAAB15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Universality 普适可用性</w:t>
            </w:r>
          </w:p>
        </w:tc>
        <w:tc>
          <w:tcPr>
            <w:tcW w:w="3427" w:type="dxa"/>
            <w:vAlign w:val="top"/>
          </w:tcPr>
          <w:p w14:paraId="472713BB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面对年龄、能力、文化、设备、软件等差异，尽量让更多人可用。</w:t>
            </w:r>
          </w:p>
        </w:tc>
        <w:tc>
          <w:tcPr>
            <w:tcW w:w="3427" w:type="dxa"/>
            <w:vAlign w:val="top"/>
          </w:tcPr>
          <w:p w14:paraId="613428E1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不是 uniqueness（独特性）。</w:t>
            </w:r>
          </w:p>
        </w:tc>
      </w:tr>
      <w:tr w14:paraId="29B5B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3F4D211A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Usefulness 有用性</w:t>
            </w:r>
          </w:p>
        </w:tc>
        <w:tc>
          <w:tcPr>
            <w:tcW w:w="3427" w:type="dxa"/>
            <w:vAlign w:val="top"/>
          </w:tcPr>
          <w:p w14:paraId="67353263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系统是否提供用户真正需要的功能与价值。</w:t>
            </w:r>
          </w:p>
        </w:tc>
        <w:tc>
          <w:tcPr>
            <w:tcW w:w="3427" w:type="dxa"/>
            <w:vAlign w:val="top"/>
          </w:tcPr>
          <w:p w14:paraId="0CAFF0B1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功能有用不等于交互可用。</w:t>
            </w:r>
          </w:p>
        </w:tc>
      </w:tr>
    </w:tbl>
    <w:p w14:paraId="42338E84">
      <w:pPr>
        <w:spacing w:after="20"/>
      </w:pPr>
    </w:p>
    <w:p w14:paraId="72F26F64">
      <w:pPr>
        <w:spacing w:after="40"/>
      </w:pPr>
      <w:r>
        <w:t>实现这些目标依赖：周密规划、对用户需求的敏感性、投入需求分析、勤勉测试，同时必须在预算与进度内完成。管理者应预留需求收集、指南编制、重复测试时间；设计者应提出多个方案并进行广泛评价。</w:t>
      </w:r>
    </w:p>
    <w:p w14:paraId="0B85A2E9">
      <w:pPr>
        <w:pStyle w:val="4"/>
      </w:pPr>
      <w:r>
        <w:t>1.3 Usability measures / 五项可用性度量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7"/>
        <w:gridCol w:w="3427"/>
        <w:gridCol w:w="3427"/>
      </w:tblGrid>
      <w:tr w14:paraId="40EDE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shd w:val="clear" w:color="auto" w:fill="D9EAF7"/>
            <w:vAlign w:val="top"/>
          </w:tcPr>
          <w:p w14:paraId="0B4E3A71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Measure</w:t>
            </w:r>
          </w:p>
        </w:tc>
        <w:tc>
          <w:tcPr>
            <w:tcW w:w="3427" w:type="dxa"/>
            <w:shd w:val="clear" w:color="auto" w:fill="D9EAF7"/>
            <w:vAlign w:val="top"/>
          </w:tcPr>
          <w:p w14:paraId="6659E778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中文定义</w:t>
            </w:r>
          </w:p>
        </w:tc>
        <w:tc>
          <w:tcPr>
            <w:tcW w:w="3427" w:type="dxa"/>
            <w:shd w:val="clear" w:color="auto" w:fill="D9EAF7"/>
            <w:vAlign w:val="top"/>
          </w:tcPr>
          <w:p w14:paraId="540F68B2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English answer cue</w:t>
            </w:r>
          </w:p>
        </w:tc>
      </w:tr>
      <w:tr w14:paraId="4DA3C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7EFA6A7E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Time to learn 学习时间</w:t>
            </w:r>
          </w:p>
        </w:tc>
        <w:tc>
          <w:tcPr>
            <w:tcW w:w="3427" w:type="dxa"/>
            <w:vAlign w:val="top"/>
          </w:tcPr>
          <w:p w14:paraId="33220DFD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典型用户学会完成一组相关基准任务所需时间。</w:t>
            </w:r>
          </w:p>
        </w:tc>
        <w:tc>
          <w:tcPr>
            <w:tcW w:w="3427" w:type="dxa"/>
            <w:vAlign w:val="top"/>
          </w:tcPr>
          <w:p w14:paraId="6A891034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How long typical users need to learn the relevant actions.</w:t>
            </w:r>
          </w:p>
        </w:tc>
      </w:tr>
      <w:tr w14:paraId="4461F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142E0507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Performance 性能</w:t>
            </w:r>
          </w:p>
        </w:tc>
        <w:tc>
          <w:tcPr>
            <w:tcW w:w="3427" w:type="dxa"/>
            <w:vAlign w:val="top"/>
          </w:tcPr>
          <w:p w14:paraId="57637D96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包含 speed（完成基准任务的耗时）与 quality（完成得有多好）。</w:t>
            </w:r>
          </w:p>
        </w:tc>
        <w:tc>
          <w:tcPr>
            <w:tcW w:w="3427" w:type="dxa"/>
            <w:vAlign w:val="top"/>
          </w:tcPr>
          <w:p w14:paraId="5D520588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Speed and quality of completing benchmark tasks.</w:t>
            </w:r>
          </w:p>
        </w:tc>
      </w:tr>
      <w:tr w14:paraId="31E40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49D75D84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Rate of errors 错误率</w:t>
            </w:r>
          </w:p>
        </w:tc>
        <w:tc>
          <w:tcPr>
            <w:tcW w:w="3427" w:type="dxa"/>
            <w:vAlign w:val="top"/>
          </w:tcPr>
          <w:p w14:paraId="476C32E4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完成任务时错误的数量及类型；还应研究用户如何发现、纠正与恢复。注意：不是开发者修复软件 bug 的速度。</w:t>
            </w:r>
          </w:p>
        </w:tc>
        <w:tc>
          <w:tcPr>
            <w:tcW w:w="3427" w:type="dxa"/>
            <w:vAlign w:val="top"/>
          </w:tcPr>
          <w:p w14:paraId="5B54F69C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Number/types of user errors and user error handling.</w:t>
            </w:r>
          </w:p>
        </w:tc>
      </w:tr>
      <w:tr w14:paraId="1DBB0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47E3A2ED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Retention over time 保持度</w:t>
            </w:r>
          </w:p>
        </w:tc>
        <w:tc>
          <w:tcPr>
            <w:tcW w:w="3427" w:type="dxa"/>
            <w:vAlign w:val="top"/>
          </w:tcPr>
          <w:p w14:paraId="7F2E150A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用户在一小时、一天或一周后还能保留多少使用知识；与学习时间、使用频率有关。</w:t>
            </w:r>
          </w:p>
        </w:tc>
        <w:tc>
          <w:tcPr>
            <w:tcW w:w="3427" w:type="dxa"/>
            <w:vAlign w:val="top"/>
          </w:tcPr>
          <w:p w14:paraId="1CA074BD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How well knowledge is retained over time.</w:t>
            </w:r>
          </w:p>
        </w:tc>
      </w:tr>
      <w:tr w14:paraId="24094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00C0F1D9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Subjective satisfaction 主观满意度</w:t>
            </w:r>
          </w:p>
        </w:tc>
        <w:tc>
          <w:tcPr>
            <w:tcW w:w="3427" w:type="dxa"/>
            <w:vAlign w:val="top"/>
          </w:tcPr>
          <w:p w14:paraId="7AC5A858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用户对界面各方面的喜欢程度，可用访谈、问卷、量表与开放评论测得。</w:t>
            </w:r>
          </w:p>
        </w:tc>
        <w:tc>
          <w:tcPr>
            <w:tcW w:w="3427" w:type="dxa"/>
            <w:vAlign w:val="top"/>
          </w:tcPr>
          <w:p w14:paraId="3B122B66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Users’ reported liking/satisfaction.</w:t>
            </w:r>
          </w:p>
        </w:tc>
      </w:tr>
    </w:tbl>
    <w:p w14:paraId="11348A98">
      <w:pPr>
        <w:spacing w:after="2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2"/>
      </w:tblGrid>
      <w:tr w14:paraId="53A83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82" w:type="dxa"/>
            <w:shd w:val="clear" w:color="auto" w:fill="EAF3F8"/>
          </w:tcPr>
          <w:p w14:paraId="6B591FBC">
            <w:pPr>
              <w:spacing w:after="0" w:line="240" w:lineRule="auto"/>
            </w:pPr>
            <w:r>
              <w:rPr>
                <w:b/>
                <w:color w:val="1F4E79"/>
              </w:rPr>
              <w:t>ISO 9241 关联 / ISO 9241 connection</w:t>
            </w:r>
          </w:p>
          <w:p w14:paraId="53791580">
            <w:pPr>
              <w:pStyle w:val="16"/>
              <w:spacing w:after="0" w:line="240" w:lineRule="auto"/>
            </w:pPr>
            <w:r>
              <w:t>ISO 9241（Ergonomics of Human-System Interaction）强调 effectiveness、efficiency、satisfaction。</w:t>
            </w:r>
          </w:p>
          <w:p w14:paraId="17C7B8D6">
            <w:pPr>
              <w:pStyle w:val="16"/>
              <w:spacing w:after="0" w:line="240" w:lineRule="auto"/>
            </w:pPr>
            <w:r>
              <w:t>本课五项指标尤其便于把效率、满意度等目标落地为可测 benchmark tasks。</w:t>
            </w:r>
          </w:p>
        </w:tc>
      </w:tr>
    </w:tbl>
    <w:p w14:paraId="02F6DC6F">
      <w:pPr>
        <w:spacing w:after="20"/>
      </w:pPr>
    </w:p>
    <w:p w14:paraId="2A27BB0E">
      <w:pPr>
        <w:pStyle w:val="16"/>
        <w:spacing w:after="20"/>
      </w:pPr>
      <w:r>
        <w:rPr>
          <w:b/>
        </w:rPr>
        <w:t xml:space="preserve">Forced tradeoffs 强制取舍 — </w:t>
      </w:r>
      <w:r>
        <w:t>很难让所有指标同时最优。允许较长学习时长，后续任务性能可能更高；极低错误率通常会牺牲速度。</w:t>
      </w:r>
      <w:r>
        <w:rPr>
          <w:i/>
        </w:rPr>
        <w:t xml:space="preserve"> / Explicitly document tradeoffs in requirements rather than hiding them.</w:t>
      </w:r>
    </w:p>
    <w:p w14:paraId="4CEC2905">
      <w:pPr>
        <w:pStyle w:val="4"/>
      </w:pPr>
      <w:r>
        <w:t>1.4 Usability motivations / 为什么可用性重要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1"/>
        <w:gridCol w:w="5141"/>
      </w:tblGrid>
      <w:tr w14:paraId="26BCD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shd w:val="clear" w:color="auto" w:fill="D9EAF7"/>
            <w:vAlign w:val="top"/>
          </w:tcPr>
          <w:p w14:paraId="170A9CC3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领域 / Domain</w:t>
            </w:r>
          </w:p>
        </w:tc>
        <w:tc>
          <w:tcPr>
            <w:tcW w:w="5141" w:type="dxa"/>
            <w:shd w:val="clear" w:color="auto" w:fill="D9EAF7"/>
            <w:vAlign w:val="top"/>
          </w:tcPr>
          <w:p w14:paraId="28660247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课程关注点 / Course emphasis</w:t>
            </w:r>
          </w:p>
        </w:tc>
      </w:tr>
      <w:tr w14:paraId="4D37C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36D49552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Consumer electronics, e-commerce, social media</w:t>
            </w:r>
          </w:p>
        </w:tc>
        <w:tc>
          <w:tcPr>
            <w:tcW w:w="5141" w:type="dxa"/>
            <w:vAlign w:val="top"/>
          </w:tcPr>
          <w:p w14:paraId="38F15336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广泛采用依赖有效且满意的设计；同时需意识到隐私、分心驾驶、人际关系弱化等风险。</w:t>
            </w:r>
          </w:p>
        </w:tc>
      </w:tr>
      <w:tr w14:paraId="0452E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4AFC204C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Games and entertainment</w:t>
            </w:r>
          </w:p>
        </w:tc>
        <w:tc>
          <w:tcPr>
            <w:tcW w:w="5141" w:type="dxa"/>
            <w:vAlign w:val="top"/>
          </w:tcPr>
          <w:p w14:paraId="6BFB24E0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娱乐应用增长推动对易学、沉浸与满意体验的需求。</w:t>
            </w:r>
          </w:p>
        </w:tc>
      </w:tr>
      <w:tr w14:paraId="1A71F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790E1D21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Professional environments</w:t>
            </w:r>
          </w:p>
        </w:tc>
        <w:tc>
          <w:tcPr>
            <w:tcW w:w="5141" w:type="dxa"/>
            <w:vAlign w:val="top"/>
          </w:tcPr>
          <w:p w14:paraId="4F95BCC2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超市到空间站。可接受较长训练，以换取压力下快速、低错表现；高频使用与应急演练帮助保持度；主观满意度相对不如性能关键。</w:t>
            </w:r>
          </w:p>
        </w:tc>
      </w:tr>
      <w:tr w14:paraId="560CF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2DE39B85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Exploratory, creative, collaborative interfaces</w:t>
            </w:r>
          </w:p>
        </w:tc>
        <w:tc>
          <w:tcPr>
            <w:tcW w:w="5141" w:type="dxa"/>
            <w:vAlign w:val="top"/>
          </w:tcPr>
          <w:p w14:paraId="664F3D08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浏览器、搜索、数据可视化、设计/音乐/动画/视频工具与协作工具，强调开放探索、创造性与降低协作门槛。</w:t>
            </w:r>
          </w:p>
        </w:tc>
      </w:tr>
      <w:tr w14:paraId="589F8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08DE5251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Sociotechnical systems</w:t>
            </w:r>
          </w:p>
        </w:tc>
        <w:tc>
          <w:tcPr>
            <w:tcW w:w="5141" w:type="dxa"/>
            <w:vAlign w:val="top"/>
          </w:tcPr>
          <w:p w14:paraId="5E81BF99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常由政府等机构构建，必须处理信任、隐私、责任、防篡改与防欺骗。</w:t>
            </w:r>
          </w:p>
        </w:tc>
      </w:tr>
    </w:tbl>
    <w:p w14:paraId="5C01A763">
      <w:pPr>
        <w:spacing w:after="2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2"/>
      </w:tblGrid>
      <w:tr w14:paraId="7591F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282" w:type="dxa"/>
            <w:shd w:val="clear" w:color="auto" w:fill="EAF3F8"/>
          </w:tcPr>
          <w:p w14:paraId="0394C235">
            <w:pPr>
              <w:spacing w:after="0" w:line="240" w:lineRule="auto"/>
            </w:pPr>
            <w:r>
              <w:rPr>
                <w:b/>
                <w:color w:val="1F4E79"/>
              </w:rPr>
              <w:t>Chapter 1 高频题 / Likely checks</w:t>
            </w:r>
          </w:p>
          <w:p w14:paraId="712924C0">
            <w:pPr>
              <w:pStyle w:val="16"/>
              <w:spacing w:after="0" w:line="240" w:lineRule="auto"/>
            </w:pPr>
            <w:r>
              <w:t>三项目标：usability, universality, usefulness；“uniqueness”不是其中之一。</w:t>
            </w:r>
          </w:p>
          <w:p w14:paraId="7B6ACBB8">
            <w:pPr>
              <w:pStyle w:val="16"/>
              <w:spacing w:after="0" w:line="240" w:lineRule="auto"/>
            </w:pPr>
            <w:r>
              <w:t>五项度量必须能定义、举例、指出取舍。</w:t>
            </w:r>
          </w:p>
          <w:p w14:paraId="04D5DB65">
            <w:pPr>
              <w:pStyle w:val="16"/>
              <w:spacing w:after="0" w:line="240" w:lineRule="auto"/>
            </w:pPr>
            <w:r>
              <w:t>职业环境通常更重视 speed of performance（同时也重视低错误率），而非主观满意度。</w:t>
            </w:r>
          </w:p>
        </w:tc>
      </w:tr>
    </w:tbl>
    <w:p w14:paraId="2EAABAEA">
      <w:pPr>
        <w:spacing w:after="20"/>
      </w:pPr>
    </w:p>
    <w:p w14:paraId="45734173">
      <w:r>
        <w:br w:type="page"/>
      </w:r>
    </w:p>
    <w:p w14:paraId="5F279803">
      <w:pPr>
        <w:pStyle w:val="3"/>
      </w:pPr>
      <w:r>
        <w:t>Chapter 2 — Universal Usability</w:t>
      </w:r>
    </w:p>
    <w:p w14:paraId="23D7C98E">
      <w:pPr>
        <w:spacing w:after="40"/>
      </w:pPr>
      <w:r>
        <w:rPr>
          <w:i/>
          <w:color w:val="5A5A5A"/>
        </w:rPr>
        <w:t>普适可用性：个体、群体/社区、软硬件差异</w:t>
      </w:r>
    </w:p>
    <w:p w14:paraId="755610E3">
      <w:pPr>
        <w:pStyle w:val="4"/>
      </w:pPr>
      <w:r>
        <w:t>2.1 Definition and design stance / 核心立场</w:t>
      </w:r>
    </w:p>
    <w:p w14:paraId="564ABA49">
      <w:pPr>
        <w:pStyle w:val="16"/>
        <w:spacing w:after="20"/>
      </w:pPr>
      <w:r>
        <w:rPr>
          <w:b/>
        </w:rPr>
        <w:t xml:space="preserve">Universal usability (UU) 普适可用性 — </w:t>
      </w:r>
      <w:r>
        <w:t>承认人的能力、背景、动机、人格、文化与工作方式高度多样；目标是尽可能满足所有用户的需求。为某一特殊群体做的适配，常常会惠及更广泛人群。</w:t>
      </w:r>
      <w:r>
        <w:rPr>
          <w:i/>
        </w:rPr>
        <w:t xml:space="preserve"> / Designing for diversity often produces benefits beyond the originally targeted group.</w:t>
      </w:r>
    </w:p>
    <w:p w14:paraId="1EF7499E">
      <w:pPr>
        <w:pStyle w:val="16"/>
        <w:spacing w:after="20"/>
      </w:pPr>
      <w:r>
        <w:rPr>
          <w:b/>
        </w:rPr>
        <w:t xml:space="preserve">No “average user” 不存在平均用户 — </w:t>
      </w:r>
      <w:r>
        <w:t>人体尺寸、力量、触达范围、感知与认知差异巨大；可采用 5th–95th percentile 设计范围、折中方案或多版本系统。</w:t>
      </w:r>
      <w:r>
        <w:rPr>
          <w:i/>
        </w:rPr>
        <w:t xml:space="preserve"> / Use percentile ranges or multiple versions rather than assuming an average user.</w:t>
      </w:r>
    </w:p>
    <w:p w14:paraId="1AB8AD1C">
      <w:pPr>
        <w:pStyle w:val="4"/>
      </w:pPr>
      <w:r>
        <w:t>2.2 Individual diversity / 个体差异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7"/>
        <w:gridCol w:w="3427"/>
        <w:gridCol w:w="3427"/>
      </w:tblGrid>
      <w:tr w14:paraId="0FA4E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shd w:val="clear" w:color="auto" w:fill="D9EAF7"/>
            <w:vAlign w:val="top"/>
          </w:tcPr>
          <w:p w14:paraId="7C254A89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Dimension</w:t>
            </w:r>
          </w:p>
        </w:tc>
        <w:tc>
          <w:tcPr>
            <w:tcW w:w="3427" w:type="dxa"/>
            <w:shd w:val="clear" w:color="auto" w:fill="D9EAF7"/>
            <w:vAlign w:val="top"/>
          </w:tcPr>
          <w:p w14:paraId="740D30C2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中文要点</w:t>
            </w:r>
          </w:p>
        </w:tc>
        <w:tc>
          <w:tcPr>
            <w:tcW w:w="3427" w:type="dxa"/>
            <w:shd w:val="clear" w:color="auto" w:fill="D9EAF7"/>
            <w:vAlign w:val="top"/>
          </w:tcPr>
          <w:p w14:paraId="550AE3E9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English cue</w:t>
            </w:r>
          </w:p>
        </w:tc>
      </w:tr>
      <w:tr w14:paraId="642BE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54F779B5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Physical abilities 身体能力</w:t>
            </w:r>
          </w:p>
        </w:tc>
        <w:tc>
          <w:tcPr>
            <w:tcW w:w="3427" w:type="dxa"/>
            <w:vAlign w:val="top"/>
          </w:tcPr>
          <w:p w14:paraId="4EEE5C70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人体静态尺寸及动态动作（坐姿触达、手指按压速度、抬举力量等）影响输入设备、目标尺寸、工作台与姿势设计。</w:t>
            </w:r>
          </w:p>
        </w:tc>
        <w:tc>
          <w:tcPr>
            <w:tcW w:w="3427" w:type="dxa"/>
            <w:vAlign w:val="top"/>
          </w:tcPr>
          <w:p w14:paraId="469565C0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Anthropometrics and dynamic action measures affect interface and workstation design.</w:t>
            </w:r>
          </w:p>
        </w:tc>
      </w:tr>
      <w:tr w14:paraId="51892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5479C06C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Physical workplace 物理工作环境</w:t>
            </w:r>
          </w:p>
        </w:tc>
        <w:tc>
          <w:tcPr>
            <w:tcW w:w="3427" w:type="dxa"/>
            <w:vAlign w:val="top"/>
          </w:tcPr>
          <w:p w14:paraId="188D0946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工作台/显示器支撑高度、腿部空间、桌面宽深、椅子与台面可调性、座椅姿势、扶手/脚踏/掌托、脚轮等会影响满意度、性能和错误率；噪声、照明和空气环境也会影响表现。</w:t>
            </w:r>
          </w:p>
        </w:tc>
        <w:tc>
          <w:tcPr>
            <w:tcW w:w="3427" w:type="dxa"/>
            <w:vAlign w:val="top"/>
          </w:tcPr>
          <w:p w14:paraId="49FD6F6E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Workstation ergonomics and environment affect performance and error rates.</w:t>
            </w:r>
          </w:p>
        </w:tc>
      </w:tr>
      <w:tr w14:paraId="73368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5699E53A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Physical-level perception 物理层感知</w:t>
            </w:r>
          </w:p>
        </w:tc>
        <w:tc>
          <w:tcPr>
            <w:tcW w:w="3427" w:type="dxa"/>
            <w:vAlign w:val="top"/>
          </w:tcPr>
          <w:p w14:paraId="01FA89AD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视觉光谱与敏感度、中央凹与周边视觉不同；触觉、听觉、语音输入/输出也重要。</w:t>
            </w:r>
          </w:p>
        </w:tc>
        <w:tc>
          <w:tcPr>
            <w:tcW w:w="3427" w:type="dxa"/>
            <w:vAlign w:val="top"/>
          </w:tcPr>
          <w:p w14:paraId="4E67556D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Low-level sensory capability, e.g., vision, touch, hearing.</w:t>
            </w:r>
          </w:p>
        </w:tc>
      </w:tr>
      <w:tr w14:paraId="74F83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34E5C1F0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Cognitive/perceptual abilities 认知/高层感知</w:t>
            </w:r>
          </w:p>
        </w:tc>
        <w:tc>
          <w:tcPr>
            <w:tcW w:w="3427" w:type="dxa"/>
            <w:vAlign w:val="top"/>
          </w:tcPr>
          <w:p w14:paraId="20A58736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短时与工作记忆、长时/语义记忆、问题解决、推理、决策与风险评估、语言理解、搜索/表象/感觉记忆、学习与技能发展等均不同。</w:t>
            </w:r>
          </w:p>
        </w:tc>
        <w:tc>
          <w:tcPr>
            <w:tcW w:w="3427" w:type="dxa"/>
            <w:vAlign w:val="top"/>
          </w:tcPr>
          <w:p w14:paraId="74DE368F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High-level interpretation and cognitive processing, not merely good eyesight.</w:t>
            </w:r>
          </w:p>
        </w:tc>
      </w:tr>
      <w:tr w14:paraId="39FB9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68480F6B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Personality differences 人格差异</w:t>
            </w:r>
          </w:p>
        </w:tc>
        <w:tc>
          <w:tcPr>
            <w:tcW w:w="3427" w:type="dxa"/>
            <w:vAlign w:val="top"/>
          </w:tcPr>
          <w:p w14:paraId="2BCADE46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对技术的接受度、互动节奏、图形/表格、信息密度偏好都可能不同。没有简单且普遍共识的人格分类；Big Five 是常见但有争议的一种工具。</w:t>
            </w:r>
          </w:p>
        </w:tc>
        <w:tc>
          <w:tcPr>
            <w:tcW w:w="3427" w:type="dxa"/>
            <w:vAlign w:val="top"/>
          </w:tcPr>
          <w:p w14:paraId="074DC952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No single universally agreed personality taxonomy.</w:t>
            </w:r>
          </w:p>
        </w:tc>
      </w:tr>
    </w:tbl>
    <w:p w14:paraId="181E0778">
      <w:pPr>
        <w:spacing w:after="20"/>
      </w:pPr>
    </w:p>
    <w:p w14:paraId="6E4FE2B8">
      <w:pPr>
        <w:spacing w:after="40"/>
      </w:pPr>
      <w:r>
        <w:t>Big Five：Openness/Intellect（开放性）、Conscientiousness（自律性）、Extraversion（外向性）、Agreeableness（宜人性）、Neuroticism（神经质/情绪不稳定性）。考试要点：它不是唯一人格测评方法，也不是无争议的唯一分类。</w:t>
      </w:r>
    </w:p>
    <w:p w14:paraId="2DAD3E6B">
      <w:pPr>
        <w:pStyle w:val="4"/>
      </w:pPr>
      <w:r>
        <w:t>2.3 Group/community diversity / 群体与社区差异</w:t>
      </w:r>
    </w:p>
    <w:p w14:paraId="7F7CF57D">
      <w:pPr>
        <w:pStyle w:val="16"/>
        <w:spacing w:after="20"/>
      </w:pPr>
      <w:r>
        <w:rPr>
          <w:b/>
        </w:rPr>
        <w:t xml:space="preserve">Cultural and international diversity 文化与国际差异 — </w:t>
      </w:r>
      <w:r>
        <w:t>国际化不仅是翻译。需要处理字符/数字/变音符号、读写方向、日期时间、货币与数值、度量单位、电话地址、姓名与称谓、身份证件号、标点与大小写、排序、图标/按钮/颜色、复数与语法、礼仪/语气/正式度/隐喻等。</w:t>
      </w:r>
      <w:r>
        <w:rPr>
          <w:i/>
        </w:rPr>
        <w:t xml:space="preserve"> / Internationalization includes formats, language, symbols, norms, metaphors, and local usability research.</w:t>
      </w:r>
    </w:p>
    <w:p w14:paraId="1BEBBD55">
      <w:pPr>
        <w:pStyle w:val="16"/>
        <w:spacing w:after="20"/>
      </w:pPr>
      <w:r>
        <w:rPr>
          <w:b/>
        </w:rPr>
        <w:t xml:space="preserve">Localization 本地化 — </w:t>
      </w:r>
      <w:r>
        <w:t>软件架构应支持本地版本定制；硬件也涉及字符集、键盘与特殊输入设备。对不同国家、语言和文化用户进行 usability study 可形成竞争优势。</w:t>
      </w:r>
      <w:r>
        <w:rPr>
          <w:i/>
        </w:rPr>
        <w:t xml:space="preserve"> / Localization requires architecture support and user testing in target communities.</w:t>
      </w:r>
    </w:p>
    <w:p w14:paraId="0AD6D203">
      <w:pPr>
        <w:pStyle w:val="16"/>
        <w:spacing w:after="20"/>
      </w:pPr>
      <w:r>
        <w:rPr>
          <w:b/>
        </w:rPr>
        <w:t xml:space="preserve">Users with disabilities 残障用户 — </w:t>
      </w:r>
      <w:r>
        <w:t>盲人可用 screen reader/refreshable braille；听障用户需要字幕与文字稿；运动障碍用户可使用语音、眼动、替代键盘或指向设备。数字内容可灵活以不同输入/输出形式呈现，整体用户都会受益。</w:t>
      </w:r>
      <w:r>
        <w:rPr>
          <w:i/>
        </w:rPr>
        <w:t xml:space="preserve"> / Accessible formats and alternative I/O benefit everyone.</w:t>
      </w:r>
    </w:p>
    <w:p w14:paraId="43C034BC">
      <w:pPr>
        <w:pStyle w:val="16"/>
        <w:spacing w:after="20"/>
      </w:pPr>
      <w:r>
        <w:rPr>
          <w:b/>
        </w:rPr>
        <w:t xml:space="preserve">WCAG — </w:t>
      </w:r>
      <w:r>
        <w:t>Web Content Accessibility Guidelines；课件将其作为面向残障用户的可访问性指南，并指出其是部分法律法规的基础。</w:t>
      </w:r>
      <w:r>
        <w:rPr>
          <w:i/>
        </w:rPr>
        <w:t xml:space="preserve"> / Accessibility guideline basis for laws/regulations.</w:t>
      </w:r>
    </w:p>
    <w:p w14:paraId="6BE315DD">
      <w:pPr>
        <w:pStyle w:val="16"/>
        <w:spacing w:after="20"/>
      </w:pPr>
      <w:r>
        <w:rPr>
          <w:b/>
        </w:rPr>
        <w:t xml:space="preserve">Older users 老年用户 — </w:t>
      </w:r>
      <w:r>
        <w:t>老化可能带来视听、力量、反应速度、记忆、感知灵活性、复杂技能学习等下降。设计上可提供字号、对比度、音量控制，更易用的指向设备、清晰导航与一致布局。正向体验能降低对电脑的恐惧。</w:t>
      </w:r>
      <w:r>
        <w:rPr>
          <w:i/>
        </w:rPr>
        <w:t xml:space="preserve"> / Design adjustments for aging often improve usability for all users.</w:t>
      </w:r>
    </w:p>
    <w:p w14:paraId="1058490E">
      <w:pPr>
        <w:pStyle w:val="16"/>
        <w:spacing w:after="20"/>
      </w:pPr>
      <w:r>
        <w:rPr>
          <w:b/>
        </w:rPr>
        <w:t xml:space="preserve">Children 儿童 — </w:t>
      </w:r>
      <w:r>
        <w:t>喜欢熟悉角色、探索环境、可重复体验与恰当反馈/控制感；但手部精细动作、抽象能力、注意广度与多概念处理能力有限，因此避免小目标、拖拽/双击依赖和复杂序列。还要关注网络陌生人和隐私安全。</w:t>
      </w:r>
      <w:r>
        <w:rPr>
          <w:i/>
        </w:rPr>
        <w:t xml:space="preserve"> / Support play and repetition, while respecting motor/cognitive limits and safety.</w:t>
      </w:r>
    </w:p>
    <w:p w14:paraId="467F974C">
      <w:pPr>
        <w:pStyle w:val="4"/>
      </w:pPr>
      <w:r>
        <w:t>2.4 Hardware and software diversity / 软硬件差异</w:t>
      </w:r>
    </w:p>
    <w:p w14:paraId="1389CB33">
      <w:pPr>
        <w:pStyle w:val="16"/>
        <w:spacing w:after="20"/>
      </w:pPr>
      <w:r>
        <w:rPr>
          <w:b/>
        </w:rPr>
        <w:t xml:space="preserve">Platform diversity 平台多样性 — </w:t>
      </w:r>
      <w:r>
        <w:t>除用户差异外，还要支持不同硬件软件平台，包括旧设备、低带宽连接、小屏移动设备以及多代操作系统、浏览器、邮件客户端等。</w:t>
      </w:r>
      <w:r>
        <w:rPr>
          <w:i/>
        </w:rPr>
        <w:t xml:space="preserve"> / Accommodate diverse platforms, old devices, small screens, and low-bandwidth contexts.</w:t>
      </w:r>
    </w:p>
    <w:p w14:paraId="45EA26AC">
      <w:pPr>
        <w:pStyle w:val="16"/>
        <w:spacing w:after="20"/>
      </w:pPr>
      <w:r>
        <w:rPr>
          <w:b/>
        </w:rPr>
        <w:t xml:space="preserve">Backward compatibility 向后兼容 — </w:t>
      </w:r>
      <w:r>
        <w:t>课件将软件向后兼容视作 universal usability 的目标之一；它会与其他可用性目标形成更大集合并产生取舍。</w:t>
      </w:r>
      <w:r>
        <w:rPr>
          <w:i/>
        </w:rPr>
        <w:t xml:space="preserve"> / Backward compatibility is a UU goal and may trade off with other goals.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2"/>
      </w:tblGrid>
      <w:tr w14:paraId="54DB6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82" w:type="dxa"/>
            <w:shd w:val="clear" w:color="auto" w:fill="EAF3F8"/>
          </w:tcPr>
          <w:p w14:paraId="35B0E9A7">
            <w:pPr>
              <w:spacing w:after="0" w:line="240" w:lineRule="auto"/>
            </w:pPr>
            <w:r>
              <w:rPr>
                <w:b/>
                <w:color w:val="1F4E79"/>
              </w:rPr>
              <w:t>Chapter 2 高频辨析 / Likely checks</w:t>
            </w:r>
          </w:p>
          <w:p w14:paraId="4A48D3B4">
            <w:pPr>
              <w:pStyle w:val="16"/>
              <w:spacing w:after="0" w:line="240" w:lineRule="auto"/>
            </w:pPr>
            <w:r>
              <w:t>文化差异属于 group/community diversity，不属于 individual diversity。</w:t>
            </w:r>
          </w:p>
          <w:p w14:paraId="25B8293D">
            <w:pPr>
              <w:pStyle w:val="16"/>
              <w:spacing w:after="0" w:line="240" w:lineRule="auto"/>
            </w:pPr>
            <w:r>
              <w:t>个人习惯与爱好属于 individual diversity，不属于 group/community diversity。</w:t>
            </w:r>
          </w:p>
          <w:p w14:paraId="160F8C01">
            <w:pPr>
              <w:pStyle w:val="16"/>
              <w:spacing w:after="0" w:line="240" w:lineRule="auto"/>
            </w:pPr>
            <w:r>
              <w:t>形状区分（SDB）通常比仅靠亮度区分（LDB）更稳健；但交通灯等情境可能因距离、标准化、快速识别等因素采用 LDB。答题必须结合具体任务与环境。</w:t>
            </w:r>
          </w:p>
        </w:tc>
      </w:tr>
    </w:tbl>
    <w:p w14:paraId="61DE8812">
      <w:pPr>
        <w:spacing w:after="20"/>
      </w:pPr>
    </w:p>
    <w:p w14:paraId="34C6305C">
      <w:r>
        <w:br w:type="page"/>
      </w:r>
    </w:p>
    <w:p w14:paraId="3A803DA6">
      <w:pPr>
        <w:pStyle w:val="3"/>
      </w:pPr>
      <w:r>
        <w:t>Chapter 3 — Guidelines, Principles, and Theories</w:t>
      </w:r>
    </w:p>
    <w:p w14:paraId="4B4FCA1B">
      <w:pPr>
        <w:spacing w:after="40"/>
      </w:pPr>
      <w:r>
        <w:rPr>
          <w:i/>
          <w:color w:val="5A5A5A"/>
        </w:rPr>
        <w:t>三层知识组织：Guidelines → Principles → Theories</w:t>
      </w:r>
    </w:p>
    <w:p w14:paraId="26367F9C">
      <w:pPr>
        <w:pStyle w:val="4"/>
      </w:pPr>
      <w:r>
        <w:t>3.1 Three-level organization / 三层组织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7"/>
        <w:gridCol w:w="3427"/>
        <w:gridCol w:w="3427"/>
      </w:tblGrid>
      <w:tr w14:paraId="1E7ED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shd w:val="clear" w:color="auto" w:fill="D9EAF7"/>
            <w:vAlign w:val="top"/>
          </w:tcPr>
          <w:p w14:paraId="443B786A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Level</w:t>
            </w:r>
          </w:p>
        </w:tc>
        <w:tc>
          <w:tcPr>
            <w:tcW w:w="3427" w:type="dxa"/>
            <w:shd w:val="clear" w:color="auto" w:fill="D9EAF7"/>
            <w:vAlign w:val="top"/>
          </w:tcPr>
          <w:p w14:paraId="06965E37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定义</w:t>
            </w:r>
          </w:p>
        </w:tc>
        <w:tc>
          <w:tcPr>
            <w:tcW w:w="3427" w:type="dxa"/>
            <w:shd w:val="clear" w:color="auto" w:fill="D9EAF7"/>
            <w:vAlign w:val="top"/>
          </w:tcPr>
          <w:p w14:paraId="19674E24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适用方式</w:t>
            </w:r>
          </w:p>
        </w:tc>
      </w:tr>
      <w:tr w14:paraId="2A8D2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275211B4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Guidelines 指南</w:t>
            </w:r>
          </w:p>
        </w:tc>
        <w:tc>
          <w:tcPr>
            <w:tcW w:w="3427" w:type="dxa"/>
            <w:vAlign w:val="top"/>
          </w:tcPr>
          <w:p w14:paraId="7A1B4CB7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低层、聚焦的好实践建议与风险提醒。</w:t>
            </w:r>
          </w:p>
        </w:tc>
        <w:tc>
          <w:tcPr>
            <w:tcW w:w="3427" w:type="dxa"/>
            <w:vAlign w:val="top"/>
          </w:tcPr>
          <w:p w14:paraId="2AFCC82F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直接指导界面细节；适合形成团队共享语言与一致性。</w:t>
            </w:r>
          </w:p>
        </w:tc>
      </w:tr>
      <w:tr w14:paraId="4EF14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3748F592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Principles 原则</w:t>
            </w:r>
          </w:p>
        </w:tc>
        <w:tc>
          <w:tcPr>
            <w:tcW w:w="3427" w:type="dxa"/>
            <w:vAlign w:val="top"/>
          </w:tcPr>
          <w:p w14:paraId="36AD5BEA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中层、较基本、较普适、较持久的策略或规则。</w:t>
            </w:r>
          </w:p>
        </w:tc>
        <w:tc>
          <w:tcPr>
            <w:tcW w:w="3427" w:type="dxa"/>
            <w:vAlign w:val="top"/>
          </w:tcPr>
          <w:p w14:paraId="668B74FB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用于分析、比较设计方案与作出设计取舍。</w:t>
            </w:r>
          </w:p>
        </w:tc>
      </w:tr>
      <w:tr w14:paraId="70058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52F0A5BE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Theories 理论</w:t>
            </w:r>
          </w:p>
        </w:tc>
        <w:tc>
          <w:tcPr>
            <w:tcW w:w="3427" w:type="dxa"/>
            <w:vAlign w:val="top"/>
          </w:tcPr>
          <w:p w14:paraId="3CCA897B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高层、广泛适用的框架；用于设计、评价、沟通和教学，有时可预测执行时间或错误率等。</w:t>
            </w:r>
          </w:p>
        </w:tc>
        <w:tc>
          <w:tcPr>
            <w:tcW w:w="3427" w:type="dxa"/>
            <w:vAlign w:val="top"/>
          </w:tcPr>
          <w:p w14:paraId="5DB3D387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用于解释“为什么”、组织知识与预测结果。</w:t>
            </w:r>
          </w:p>
        </w:tc>
      </w:tr>
    </w:tbl>
    <w:p w14:paraId="29F8C7BF">
      <w:pPr>
        <w:spacing w:after="20"/>
      </w:pPr>
    </w:p>
    <w:p w14:paraId="0952144C">
      <w:pPr>
        <w:spacing w:after="40"/>
      </w:pPr>
      <w:r>
        <w:t>重要辨析：Guidelines 不是理论。Quiz 1 中“standardize task sequences”“use unique and descriptive headings”属于指南，因此把它们说成理论是错误的。</w:t>
      </w:r>
    </w:p>
    <w:p w14:paraId="56314D6C">
      <w:pPr>
        <w:pStyle w:val="4"/>
      </w:pPr>
      <w:r>
        <w:t>3.2 Guidelines / 指南</w:t>
      </w:r>
    </w:p>
    <w:p w14:paraId="59EE96C2">
      <w:pPr>
        <w:pStyle w:val="16"/>
        <w:spacing w:after="20"/>
      </w:pPr>
      <w:r>
        <w:rPr>
          <w:b/>
        </w:rPr>
        <w:t xml:space="preserve">Guideline document 指南文档 — </w:t>
      </w:r>
      <w:r>
        <w:t>记录实践经验或实证研究得到的最佳实践与反例；统一术语、外观、动作序列，便于多人协作。</w:t>
      </w:r>
      <w:r>
        <w:rPr>
          <w:i/>
        </w:rPr>
        <w:t xml:space="preserve"> / A shared design language and consistency mechanism.</w:t>
      </w:r>
    </w:p>
    <w:p w14:paraId="2AB55DDB">
      <w:pPr>
        <w:pStyle w:val="5"/>
      </w:pPr>
      <w:r>
        <w:t>Navigation guidelines / 导航界面指南</w:t>
      </w:r>
    </w:p>
    <w:p w14:paraId="7EE786E5">
      <w:pPr>
        <w:pStyle w:val="16"/>
        <w:spacing w:after="20"/>
      </w:pPr>
      <w:r>
        <w:rPr>
          <w:b/>
        </w:rPr>
        <w:t xml:space="preserve">Standardize task sequences — </w:t>
      </w:r>
      <w:r>
        <w:t>相似情境中让用户以相同顺序和方式完成任务。</w:t>
      </w:r>
      <w:r>
        <w:rPr>
          <w:i/>
        </w:rPr>
        <w:t xml:space="preserve"> / Use consistent sequences for similar tasks.</w:t>
      </w:r>
    </w:p>
    <w:p w14:paraId="13CBC2F2">
      <w:pPr>
        <w:pStyle w:val="16"/>
        <w:spacing w:after="20"/>
      </w:pPr>
      <w:r>
        <w:rPr>
          <w:b/>
        </w:rPr>
        <w:t xml:space="preserve">Descriptive embedded links — </w:t>
      </w:r>
      <w:r>
        <w:t>链接文字应准确描述目的地。</w:t>
      </w:r>
      <w:r>
        <w:rPr>
          <w:i/>
        </w:rPr>
        <w:t xml:space="preserve"> / Link text should describe its destination.</w:t>
      </w:r>
    </w:p>
    <w:p w14:paraId="475AB8C1">
      <w:pPr>
        <w:pStyle w:val="16"/>
        <w:spacing w:after="20"/>
      </w:pPr>
      <w:r>
        <w:rPr>
          <w:b/>
        </w:rPr>
        <w:t xml:space="preserve">Unique, descriptive headings — </w:t>
      </w:r>
      <w:r>
        <w:t>标题彼此区分明确，并与内容概念相关。</w:t>
      </w:r>
      <w:r>
        <w:rPr>
          <w:i/>
        </w:rPr>
        <w:t xml:space="preserve"> / Headings must be unique and descriptive.</w:t>
      </w:r>
    </w:p>
    <w:p w14:paraId="0B6B918B">
      <w:pPr>
        <w:pStyle w:val="16"/>
        <w:spacing w:after="20"/>
      </w:pPr>
      <w:r>
        <w:rPr>
          <w:b/>
        </w:rPr>
        <w:t xml:space="preserve">Radio buttons for mutually exclusive choices — </w:t>
      </w:r>
      <w:r>
        <w:t>互斥选项用单选按钮。</w:t>
      </w:r>
      <w:r>
        <w:rPr>
          <w:i/>
        </w:rPr>
        <w:t xml:space="preserve"> / Use radio buttons for mutually exclusive options.</w:t>
      </w:r>
    </w:p>
    <w:p w14:paraId="4281676A">
      <w:pPr>
        <w:pStyle w:val="16"/>
        <w:spacing w:after="20"/>
      </w:pPr>
      <w:r>
        <w:rPr>
          <w:b/>
        </w:rPr>
        <w:t xml:space="preserve">Print properly — </w:t>
      </w:r>
      <w:r>
        <w:t>可能被打印的页面应有合适宽度与版式。</w:t>
      </w:r>
      <w:r>
        <w:rPr>
          <w:i/>
        </w:rPr>
        <w:t xml:space="preserve"> / Design printable pages when printing is expected.</w:t>
      </w:r>
    </w:p>
    <w:p w14:paraId="405850F3">
      <w:pPr>
        <w:pStyle w:val="16"/>
        <w:spacing w:after="20"/>
      </w:pPr>
      <w:r>
        <w:rPr>
          <w:b/>
        </w:rPr>
        <w:t xml:space="preserve">Thumbnails — </w:t>
      </w:r>
      <w:r>
        <w:t>全尺寸图像不是关键时，先用缩略图预览大图；课件将其与 scale-space theory 的生物学支撑联系。</w:t>
      </w:r>
      <w:r>
        <w:rPr>
          <w:i/>
        </w:rPr>
        <w:t xml:space="preserve"> / Use thumbnails for preview when full-size is not essential.</w:t>
      </w:r>
    </w:p>
    <w:p w14:paraId="157E1B08">
      <w:pPr>
        <w:pStyle w:val="5"/>
      </w:pPr>
      <w:r>
        <w:t>Display organization / 显示组织五目标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1"/>
        <w:gridCol w:w="5141"/>
      </w:tblGrid>
      <w:tr w14:paraId="3FF45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shd w:val="clear" w:color="auto" w:fill="D9EAF7"/>
            <w:vAlign w:val="top"/>
          </w:tcPr>
          <w:p w14:paraId="34EBD115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Goal</w:t>
            </w:r>
          </w:p>
        </w:tc>
        <w:tc>
          <w:tcPr>
            <w:tcW w:w="5141" w:type="dxa"/>
            <w:shd w:val="clear" w:color="auto" w:fill="D9EAF7"/>
            <w:vAlign w:val="top"/>
          </w:tcPr>
          <w:p w14:paraId="1AA8E38F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中文说明</w:t>
            </w:r>
          </w:p>
        </w:tc>
      </w:tr>
      <w:tr w14:paraId="7C17C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637BEB90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Consistency of data display</w:t>
            </w:r>
          </w:p>
        </w:tc>
        <w:tc>
          <w:tcPr>
            <w:tcW w:w="5141" w:type="dxa"/>
            <w:vAlign w:val="top"/>
          </w:tcPr>
          <w:p w14:paraId="666A13ED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术语、缩写、格式、颜色、大小写等标准化，可用字典管理。</w:t>
            </w:r>
          </w:p>
        </w:tc>
      </w:tr>
      <w:tr w14:paraId="68D35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7E82B992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Efficient information assimilation</w:t>
            </w:r>
          </w:p>
        </w:tc>
        <w:tc>
          <w:tcPr>
            <w:tcW w:w="5141" w:type="dxa"/>
            <w:vAlign w:val="top"/>
          </w:tcPr>
          <w:p w14:paraId="2BB0BD15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格式应熟悉且与任务相关；使用整齐列、恰当左右对齐、小数点对齐、间距、可理解标签、单位和适当小数位。</w:t>
            </w:r>
          </w:p>
        </w:tc>
      </w:tr>
      <w:tr w14:paraId="0F54C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3206E348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Minimal memory load</w:t>
            </w:r>
          </w:p>
        </w:tc>
        <w:tc>
          <w:tcPr>
            <w:tcW w:w="5141" w:type="dxa"/>
            <w:vAlign w:val="top"/>
          </w:tcPr>
          <w:p w14:paraId="75D0A558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尽量让必要信息可见，减少跨界面记忆。</w:t>
            </w:r>
          </w:p>
        </w:tc>
      </w:tr>
      <w:tr w14:paraId="02C4B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18E9203D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Compatibility with data entry</w:t>
            </w:r>
          </w:p>
        </w:tc>
        <w:tc>
          <w:tcPr>
            <w:tcW w:w="5141" w:type="dxa"/>
            <w:vAlign w:val="top"/>
          </w:tcPr>
          <w:p w14:paraId="34DDF5A3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显示格式应与输入格式清楚对应；输出字段在适当场景下也可编辑。</w:t>
            </w:r>
          </w:p>
        </w:tc>
      </w:tr>
      <w:tr w14:paraId="7A0C4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3C188BDF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Flexibility for user control</w:t>
            </w:r>
          </w:p>
        </w:tc>
        <w:tc>
          <w:tcPr>
            <w:tcW w:w="5141" w:type="dxa"/>
            <w:vAlign w:val="top"/>
          </w:tcPr>
          <w:p w14:paraId="3A83DE3A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允许用户按任务需要改变列顺序、行排序等。</w:t>
            </w:r>
          </w:p>
        </w:tc>
      </w:tr>
    </w:tbl>
    <w:p w14:paraId="537CAEEB">
      <w:pPr>
        <w:spacing w:after="20"/>
      </w:pPr>
    </w:p>
    <w:p w14:paraId="5A022D56">
      <w:pPr>
        <w:pStyle w:val="5"/>
      </w:pPr>
      <w:r>
        <w:t>Getting attention / 引导注意</w:t>
      </w:r>
    </w:p>
    <w:p w14:paraId="5112D001">
      <w:pPr>
        <w:pStyle w:val="16"/>
        <w:spacing w:after="20"/>
      </w:pPr>
      <w:r>
        <w:rPr>
          <w:b/>
        </w:rPr>
        <w:t xml:space="preserve">Intensity — </w:t>
      </w:r>
      <w:r>
        <w:t>仅用两个强度层级，高强度要少用。</w:t>
      </w:r>
      <w:r>
        <w:rPr>
          <w:i/>
        </w:rPr>
        <w:t xml:space="preserve"> / Two levels only; use high intensity sparingly.</w:t>
      </w:r>
    </w:p>
    <w:p w14:paraId="53F875D6">
      <w:pPr>
        <w:pStyle w:val="16"/>
        <w:spacing w:after="20"/>
      </w:pPr>
      <w:r>
        <w:rPr>
          <w:b/>
        </w:rPr>
        <w:t xml:space="preserve">Marking — </w:t>
      </w:r>
      <w:r>
        <w:t>下划线、方框、箭头、星号/项目符号等。</w:t>
      </w:r>
      <w:r>
        <w:rPr>
          <w:i/>
        </w:rPr>
        <w:t xml:space="preserve"> / Use explicit marks to highlight items.</w:t>
      </w:r>
    </w:p>
    <w:p w14:paraId="6B34D584">
      <w:pPr>
        <w:pStyle w:val="16"/>
        <w:spacing w:after="20"/>
      </w:pPr>
      <w:r>
        <w:rPr>
          <w:b/>
        </w:rPr>
        <w:t xml:space="preserve">Size / fonts — </w:t>
      </w:r>
      <w:r>
        <w:t>最多四种尺寸、最多三种字体。</w:t>
      </w:r>
      <w:r>
        <w:rPr>
          <w:i/>
        </w:rPr>
        <w:t xml:space="preserve"> / Limit sizes and font families.</w:t>
      </w:r>
    </w:p>
    <w:p w14:paraId="1C48E2D6">
      <w:pPr>
        <w:pStyle w:val="16"/>
        <w:spacing w:after="20"/>
      </w:pPr>
      <w:r>
        <w:rPr>
          <w:b/>
        </w:rPr>
        <w:t xml:space="preserve">Blinking — </w:t>
      </w:r>
      <w:r>
        <w:t>2–4 Hz 的闪烁或闪烁颜色变化要非常谨慎、局部使用；会分散注意，且可能诱发癫痫。</w:t>
      </w:r>
      <w:r>
        <w:rPr>
          <w:i/>
        </w:rPr>
        <w:t xml:space="preserve"> / Use sparingly; can distract or trigger seizures.</w:t>
      </w:r>
    </w:p>
    <w:p w14:paraId="6BA37CAF">
      <w:pPr>
        <w:pStyle w:val="16"/>
        <w:spacing w:after="20"/>
      </w:pPr>
      <w:r>
        <w:rPr>
          <w:b/>
        </w:rPr>
        <w:t xml:space="preserve">Colour / audio — </w:t>
      </w:r>
      <w:r>
        <w:t>常规色一般最多四种，其他色留给少见情境；常规正反馈用柔和音，罕见紧急情况用尖锐声。</w:t>
      </w:r>
      <w:r>
        <w:rPr>
          <w:i/>
        </w:rPr>
        <w:t xml:space="preserve"> / Reserve salient color/sound for meaningful conditions.</w:t>
      </w:r>
    </w:p>
    <w:p w14:paraId="7D7A69EB">
      <w:pPr>
        <w:spacing w:after="40"/>
      </w:pPr>
      <w:r>
        <w:t>总原则：不要滥用注意力机制；“Everything is important” 等于 “Nothing is important”。</w:t>
      </w:r>
    </w:p>
    <w:p w14:paraId="256D10A7">
      <w:pPr>
        <w:pStyle w:val="5"/>
      </w:pPr>
      <w:r>
        <w:t>Data entry goals / 数据输入五目标</w:t>
      </w:r>
    </w:p>
    <w:p w14:paraId="5CA3B231">
      <w:pPr>
        <w:spacing w:after="40"/>
      </w:pPr>
      <w:r>
        <w:t>Consistency of data-entry transactions；Minimal input actions；Minimal memory load；Compatibility with data display；Flexibility for user control。答题时可与显示五目标并列比较。</w:t>
      </w:r>
    </w:p>
    <w:p w14:paraId="1B6200FB">
      <w:pPr>
        <w:pStyle w:val="4"/>
      </w:pPr>
      <w:r>
        <w:t>3.3 Principles / 原则</w:t>
      </w:r>
    </w:p>
    <w:p w14:paraId="4FD84794">
      <w:pPr>
        <w:pStyle w:val="5"/>
      </w:pPr>
      <w:r>
        <w:t>Determine users’ skill levels / 判断用户技能水平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1"/>
        <w:gridCol w:w="5141"/>
      </w:tblGrid>
      <w:tr w14:paraId="01681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shd w:val="clear" w:color="auto" w:fill="D9EAF7"/>
            <w:vAlign w:val="top"/>
          </w:tcPr>
          <w:p w14:paraId="086744E4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User class</w:t>
            </w:r>
          </w:p>
        </w:tc>
        <w:tc>
          <w:tcPr>
            <w:tcW w:w="5141" w:type="dxa"/>
            <w:shd w:val="clear" w:color="auto" w:fill="D9EAF7"/>
            <w:vAlign w:val="top"/>
          </w:tcPr>
          <w:p w14:paraId="41168E5C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设计支持 / Design implications</w:t>
            </w:r>
          </w:p>
        </w:tc>
      </w:tr>
      <w:tr w14:paraId="203A9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0F5A95D0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Novice / first-time users 新手/初次用户</w:t>
            </w:r>
          </w:p>
        </w:tc>
        <w:tc>
          <w:tcPr>
            <w:tcW w:w="5141" w:type="dxa"/>
            <w:vAlign w:val="top"/>
          </w:tcPr>
          <w:p w14:paraId="1052846A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小而熟悉且一致的词汇；说明与对话框；完成任务后的信息性反馈；具体错误信息；视频演示和在线教程。初次用户可能懂业务但不懂 UI。</w:t>
            </w:r>
          </w:p>
        </w:tc>
      </w:tr>
      <w:tr w14:paraId="76CEA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00A3D676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Knowledgeable intermittent users 熟练但间歇用户</w:t>
            </w:r>
          </w:p>
        </w:tc>
        <w:tc>
          <w:tcPr>
            <w:tcW w:w="5141" w:type="dxa"/>
            <w:vAlign w:val="top"/>
          </w:tcPr>
          <w:p w14:paraId="022D21FD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有稳定任务概念，却可能忘记菜单结构或功能位置。需要有序菜单、一致术语、recognition rather than recall、防护机制、上下文帮助。</w:t>
            </w:r>
          </w:p>
        </w:tc>
      </w:tr>
      <w:tr w14:paraId="032A1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05E575D7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Expert frequent users 专家高频用户</w:t>
            </w:r>
          </w:p>
        </w:tc>
        <w:tc>
          <w:tcPr>
            <w:tcW w:w="5141" w:type="dxa"/>
            <w:vAlign w:val="top"/>
          </w:tcPr>
          <w:p w14:paraId="5AFF4EE1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追求速度；提供快捷键/手势、快速响应和简短不干扰的反馈。</w:t>
            </w:r>
          </w:p>
        </w:tc>
      </w:tr>
    </w:tbl>
    <w:p w14:paraId="53782850">
      <w:pPr>
        <w:spacing w:after="20"/>
      </w:pPr>
    </w:p>
    <w:p w14:paraId="1066A9CD">
      <w:pPr>
        <w:pStyle w:val="16"/>
        <w:spacing w:after="20"/>
      </w:pPr>
      <w:r>
        <w:rPr>
          <w:b/>
        </w:rPr>
        <w:t xml:space="preserve">Multi-layer approach 多层级学习 — </w:t>
      </w:r>
      <w:r>
        <w:t>先让新手掌握最小对象/动作集合，再逐步开放更深层功能；也可允许个性化菜单或用户配置。这既照顾不同技能，也促进 UU。</w:t>
      </w:r>
      <w:r>
        <w:rPr>
          <w:i/>
        </w:rPr>
        <w:t xml:space="preserve"> / Support progressive disclosure and personalization.</w:t>
      </w:r>
    </w:p>
    <w:p w14:paraId="1452F9E5">
      <w:pPr>
        <w:pStyle w:val="5"/>
      </w:pPr>
      <w:r>
        <w:t>Identify tasks / 识别任务</w:t>
      </w:r>
    </w:p>
    <w:p w14:paraId="201BC2DB">
      <w:pPr>
        <w:pStyle w:val="16"/>
        <w:spacing w:after="20"/>
      </w:pPr>
      <w:r>
        <w:rPr>
          <w:b/>
        </w:rPr>
        <w:t xml:space="preserve">Task analysis 任务分析 — </w:t>
      </w:r>
      <w:r>
        <w:t>通过长时间观察与访谈了解任务、频率、序列与支持范围。任务可从高层动作分解为中层动作，再到用户用输入设备执行的原子动作。</w:t>
      </w:r>
      <w:r>
        <w:rPr>
          <w:i/>
        </w:rPr>
        <w:t xml:space="preserve"> / Observe/interview users; decompose high-level tasks into atomic actions.</w:t>
      </w:r>
    </w:p>
    <w:p w14:paraId="4DD71B6D">
      <w:pPr>
        <w:pStyle w:val="16"/>
        <w:spacing w:after="20"/>
      </w:pPr>
      <w:r>
        <w:rPr>
          <w:b/>
        </w:rPr>
        <w:t xml:space="preserve">Frequency affects architecture — </w:t>
      </w:r>
      <w:r>
        <w:t>高频任务应靠近菜单顶层或用快捷方式；低频/复杂任务可置于更深菜单或表单序列。不要为了“可能有人用”而塞入所有功能，否则会造成杂乱，损害简洁性与易学性。</w:t>
      </w:r>
      <w:r>
        <w:rPr>
          <w:i/>
        </w:rPr>
        <w:t xml:space="preserve"> / Task frequency shapes menu depth and interaction cost.</w:t>
      </w:r>
    </w:p>
    <w:p w14:paraId="34AEA8C7">
      <w:pPr>
        <w:pStyle w:val="5"/>
      </w:pPr>
      <w:r>
        <w:t>Choose an interaction style / 选择交互风格</w:t>
      </w:r>
    </w:p>
    <w:p w14:paraId="4FE2A168">
      <w:pPr>
        <w:spacing w:after="40"/>
      </w:pPr>
      <w:r>
        <w:t>五种主交互风格：Direct manipulation；Navigation and menu selection；Form fill-in；Natural language；Command language。命令语言可给高级用户强控制感，并能快速表达复杂可能性；但不适合所有用户。</w:t>
      </w:r>
    </w:p>
    <w:p w14:paraId="4E86DF29">
      <w:pPr>
        <w:pStyle w:val="5"/>
      </w:pPr>
      <w:r>
        <w:t>Eight Golden Rules / 八项黄金法则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1"/>
        <w:gridCol w:w="5141"/>
      </w:tblGrid>
      <w:tr w14:paraId="5394C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shd w:val="clear" w:color="auto" w:fill="D9EAF7"/>
            <w:vAlign w:val="top"/>
          </w:tcPr>
          <w:p w14:paraId="42C58701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Rule</w:t>
            </w:r>
          </w:p>
        </w:tc>
        <w:tc>
          <w:tcPr>
            <w:tcW w:w="5141" w:type="dxa"/>
            <w:shd w:val="clear" w:color="auto" w:fill="D9EAF7"/>
            <w:vAlign w:val="top"/>
          </w:tcPr>
          <w:p w14:paraId="0DEDD504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中文可答表述</w:t>
            </w:r>
          </w:p>
        </w:tc>
      </w:tr>
      <w:tr w14:paraId="75EE2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1E0CEB23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1. Strive for consistency</w:t>
            </w:r>
          </w:p>
        </w:tc>
        <w:tc>
          <w:tcPr>
            <w:tcW w:w="5141" w:type="dxa"/>
            <w:vAlign w:val="top"/>
          </w:tcPr>
          <w:p w14:paraId="19E5776B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相似情境保持动作序列、术语、提示、帮助、颜色、布局、大小写、字体一致；例外（如删除确认）也应可理解。</w:t>
            </w:r>
          </w:p>
        </w:tc>
      </w:tr>
      <w:tr w14:paraId="65588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1F2F0BD8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2. Seek universal usability</w:t>
            </w:r>
          </w:p>
        </w:tc>
        <w:tc>
          <w:tcPr>
            <w:tcW w:w="5141" w:type="dxa"/>
            <w:vAlign w:val="top"/>
          </w:tcPr>
          <w:p w14:paraId="56F636D4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考虑新手/专家、年龄、残障、国际差异、技术平台差异，并让内容具有可塑性。</w:t>
            </w:r>
          </w:p>
        </w:tc>
      </w:tr>
      <w:tr w14:paraId="3247F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0B7F8937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3. Offer informative feedback</w:t>
            </w:r>
          </w:p>
        </w:tc>
        <w:tc>
          <w:tcPr>
            <w:tcW w:w="5141" w:type="dxa"/>
            <w:vAlign w:val="top"/>
          </w:tcPr>
          <w:p w14:paraId="763E39F8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每个用户动作都应有反馈；频繁轻微动作可简短，少见重大动作应更充分。</w:t>
            </w:r>
          </w:p>
        </w:tc>
      </w:tr>
      <w:tr w14:paraId="266E6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6FBCB0B8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4. Design dialogs to yield closure</w:t>
            </w:r>
          </w:p>
        </w:tc>
        <w:tc>
          <w:tcPr>
            <w:tcW w:w="5141" w:type="dxa"/>
            <w:vAlign w:val="top"/>
          </w:tcPr>
          <w:p w14:paraId="541D04FD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操作序列应有开始—中间—结束；完成后给总结性反馈，提供完成感和下一步准备信号。</w:t>
            </w:r>
          </w:p>
        </w:tc>
      </w:tr>
      <w:tr w14:paraId="16228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1A3632AE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5. Prevent errors</w:t>
            </w:r>
          </w:p>
        </w:tc>
        <w:tc>
          <w:tcPr>
            <w:tcW w:w="5141" w:type="dxa"/>
            <w:vAlign w:val="top"/>
          </w:tcPr>
          <w:p w14:paraId="7A840C06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尽量避免严重错误发生；如发生，应提供易懂的处理路径。</w:t>
            </w:r>
          </w:p>
        </w:tc>
      </w:tr>
      <w:tr w14:paraId="7902D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39623C81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6. Permit easy reversal of actions</w:t>
            </w:r>
          </w:p>
        </w:tc>
        <w:tc>
          <w:tcPr>
            <w:tcW w:w="5141" w:type="dxa"/>
            <w:vAlign w:val="top"/>
          </w:tcPr>
          <w:p w14:paraId="7481FCA9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尽可能可撤销；撤销单位可是一项操作、一段数据输入或一组操作，减少焦虑。</w:t>
            </w:r>
          </w:p>
        </w:tc>
      </w:tr>
      <w:tr w14:paraId="513E9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0ED5CFC1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7. Keep users in control</w:t>
            </w:r>
          </w:p>
        </w:tc>
        <w:tc>
          <w:tcPr>
            <w:tcW w:w="5141" w:type="dxa"/>
            <w:vAlign w:val="top"/>
          </w:tcPr>
          <w:p w14:paraId="77BC03B7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用户应感觉自己主导系统，系统响应其动作；不是让用户“被系统控制”。</w:t>
            </w:r>
          </w:p>
        </w:tc>
      </w:tr>
      <w:tr w14:paraId="24C7B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14E4D02B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8. Reduce short-term memory load</w:t>
            </w:r>
          </w:p>
        </w:tc>
        <w:tc>
          <w:tcPr>
            <w:tcW w:w="5141" w:type="dxa"/>
            <w:vAlign w:val="top"/>
          </w:tcPr>
          <w:p w14:paraId="71AADC66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避免要求用户跨多个界面记住大量信息；尽可能呈现可见选项、识别而非回忆。</w:t>
            </w:r>
          </w:p>
        </w:tc>
      </w:tr>
    </w:tbl>
    <w:p w14:paraId="686E39A8">
      <w:pPr>
        <w:spacing w:after="20"/>
      </w:pPr>
    </w:p>
    <w:p w14:paraId="11E73203">
      <w:pPr>
        <w:pStyle w:val="16"/>
        <w:spacing w:after="20"/>
      </w:pPr>
      <w:r>
        <w:rPr>
          <w:b/>
        </w:rPr>
        <w:t xml:space="preserve">Human control and automation — </w:t>
      </w:r>
      <w:r>
        <w:t>自动化应增加效率，但不应剥夺用户理解、监督、干预和恢复的能力。</w:t>
      </w:r>
      <w:r>
        <w:rPr>
          <w:i/>
        </w:rPr>
        <w:t xml:space="preserve"> / Increase automation while preserving human authority and awareness.</w:t>
      </w:r>
    </w:p>
    <w:p w14:paraId="27733D10">
      <w:pPr>
        <w:pStyle w:val="4"/>
      </w:pPr>
      <w:r>
        <w:t>3.4 Theories / 理论</w:t>
      </w:r>
    </w:p>
    <w:p w14:paraId="246E60F2">
      <w:pPr>
        <w:pStyle w:val="16"/>
        <w:spacing w:after="20"/>
      </w:pPr>
      <w:r>
        <w:rPr>
          <w:b/>
        </w:rPr>
        <w:t xml:space="preserve">Theory types 理论类型 — </w:t>
      </w:r>
      <w:r>
        <w:t>Descriptive（描述：术语/分类法）；Explanatory（解释：事件序列与因果）；Prescriptive（规定：给出选择建议）；Predictive（预测：比较执行时间、错误率等）。</w:t>
      </w:r>
      <w:r>
        <w:rPr>
          <w:i/>
        </w:rPr>
        <w:t xml:space="preserve"> / Descriptive, explanatory, prescriptive, predictive.</w:t>
      </w:r>
    </w:p>
    <w:p w14:paraId="3B948E3C">
      <w:pPr>
        <w:pStyle w:val="16"/>
        <w:spacing w:after="20"/>
      </w:pPr>
      <w:r>
        <w:rPr>
          <w:b/>
        </w:rPr>
        <w:t xml:space="preserve">Capacity/skill perspectives — </w:t>
      </w:r>
      <w:r>
        <w:t>Motor、Perceptual、Cognitive；也可有信息架构、满意度、情感、小组行为、组织动力学等理论。好理论应易理解、不同使用者得出相近结论，并能解决 UID 问题。</w:t>
      </w:r>
      <w:r>
        <w:rPr>
          <w:i/>
        </w:rPr>
        <w:t xml:space="preserve"> / Good theories are understandable, consistent in conclusions, and problem-solving.</w:t>
      </w:r>
    </w:p>
    <w:p w14:paraId="7CD69B47">
      <w:pPr>
        <w:pStyle w:val="5"/>
      </w:pPr>
      <w:r>
        <w:t>Four-level theory / Conceptual–Semantic–Syntactic–Lexical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7"/>
        <w:gridCol w:w="3427"/>
        <w:gridCol w:w="3427"/>
      </w:tblGrid>
      <w:tr w14:paraId="47788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shd w:val="clear" w:color="auto" w:fill="D9EAF7"/>
            <w:vAlign w:val="top"/>
          </w:tcPr>
          <w:p w14:paraId="59925F4D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Level</w:t>
            </w:r>
          </w:p>
        </w:tc>
        <w:tc>
          <w:tcPr>
            <w:tcW w:w="3427" w:type="dxa"/>
            <w:shd w:val="clear" w:color="auto" w:fill="D9EAF7"/>
            <w:vAlign w:val="top"/>
          </w:tcPr>
          <w:p w14:paraId="671B5292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中文含义</w:t>
            </w:r>
          </w:p>
        </w:tc>
        <w:tc>
          <w:tcPr>
            <w:tcW w:w="3427" w:type="dxa"/>
            <w:shd w:val="clear" w:color="auto" w:fill="D9EAF7"/>
            <w:vAlign w:val="top"/>
          </w:tcPr>
          <w:p w14:paraId="41338A81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Example cue</w:t>
            </w:r>
          </w:p>
        </w:tc>
      </w:tr>
      <w:tr w14:paraId="70CE6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0D4646C8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Conceptual 概念层</w:t>
            </w:r>
          </w:p>
        </w:tc>
        <w:tc>
          <w:tcPr>
            <w:tcW w:w="3427" w:type="dxa"/>
            <w:vAlign w:val="top"/>
          </w:tcPr>
          <w:p w14:paraId="0D95CAE6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用户对系统的 mental model。画图程序以对象为单位；画图/像素程序以像素及其群组为单位。上层模型会影响下层。</w:t>
            </w:r>
          </w:p>
        </w:tc>
        <w:tc>
          <w:tcPr>
            <w:tcW w:w="3427" w:type="dxa"/>
            <w:vAlign w:val="top"/>
          </w:tcPr>
          <w:p w14:paraId="21CFD714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What the system is “about” to the user.</w:t>
            </w:r>
          </w:p>
        </w:tc>
      </w:tr>
      <w:tr w14:paraId="10AB8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11DC2786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Semantic 语义层</w:t>
            </w:r>
          </w:p>
        </w:tc>
        <w:tc>
          <w:tcPr>
            <w:tcW w:w="3427" w:type="dxa"/>
            <w:vAlign w:val="top"/>
          </w:tcPr>
          <w:p w14:paraId="1B8CF68D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用户输入和系统输出表达的意义；应避免歧义/混乱。删除对象应只删除目标对象而不影响其他对象。</w:t>
            </w:r>
          </w:p>
        </w:tc>
        <w:tc>
          <w:tcPr>
            <w:tcW w:w="3427" w:type="dxa"/>
            <w:vAlign w:val="top"/>
          </w:tcPr>
          <w:p w14:paraId="77E81A1F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What an action means.</w:t>
            </w:r>
          </w:p>
        </w:tc>
      </w:tr>
      <w:tr w14:paraId="3DD40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45015290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Syntactic 句法层</w:t>
            </w:r>
          </w:p>
        </w:tc>
        <w:tc>
          <w:tcPr>
            <w:tcW w:w="3427" w:type="dxa"/>
            <w:vAlign w:val="top"/>
          </w:tcPr>
          <w:p w14:paraId="559B9932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把表达语义的用户动作组织成完成任务的完整“句子”。例如拖到垃圾桶后点击确认。</w:t>
            </w:r>
          </w:p>
        </w:tc>
        <w:tc>
          <w:tcPr>
            <w:tcW w:w="3427" w:type="dxa"/>
            <w:vAlign w:val="top"/>
          </w:tcPr>
          <w:p w14:paraId="24CE62E7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How actions are sequenced.</w:t>
            </w:r>
          </w:p>
        </w:tc>
      </w:tr>
      <w:tr w14:paraId="37461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28815FF6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Lexical 词法层</w:t>
            </w:r>
          </w:p>
        </w:tc>
        <w:tc>
          <w:tcPr>
            <w:tcW w:w="3427" w:type="dxa"/>
            <w:vAlign w:val="top"/>
          </w:tcPr>
          <w:p w14:paraId="2FA9CA5F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处理设备依赖和原子操作细节，例如鼠标移动、点击、按键、触摸。</w:t>
            </w:r>
          </w:p>
        </w:tc>
        <w:tc>
          <w:tcPr>
            <w:tcW w:w="3427" w:type="dxa"/>
            <w:vAlign w:val="top"/>
          </w:tcPr>
          <w:p w14:paraId="113642A5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Physical/device-level tokens and actions.</w:t>
            </w:r>
          </w:p>
        </w:tc>
      </w:tr>
    </w:tbl>
    <w:p w14:paraId="4CDD4BCA">
      <w:pPr>
        <w:spacing w:after="20"/>
      </w:pPr>
    </w:p>
    <w:p w14:paraId="0F538B4C">
      <w:pPr>
        <w:pStyle w:val="16"/>
        <w:spacing w:after="20"/>
      </w:pPr>
      <w:r>
        <w:rPr>
          <w:b/>
        </w:rPr>
        <w:t xml:space="preserve">Seven stages of action 七阶段行动理论 — </w:t>
      </w:r>
      <w:r>
        <w:t>形成目标 → 形成意图 → 指定动作 → 执行动作 → 感知系统状态 → 解释系统状态 → 评价结果。它描述用户的循环行动/评价过程，体现反馈控制精神。</w:t>
      </w:r>
      <w:r>
        <w:rPr>
          <w:i/>
        </w:rPr>
        <w:t xml:space="preserve"> / Goal → intention → specify → execute → perceive → interpret → evaluate.</w:t>
      </w:r>
    </w:p>
    <w:p w14:paraId="674847E9">
      <w:pPr>
        <w:pStyle w:val="16"/>
        <w:spacing w:after="20"/>
      </w:pPr>
      <w:r>
        <w:rPr>
          <w:b/>
        </w:rPr>
        <w:t xml:space="preserve">Implications from action theory — </w:t>
      </w:r>
      <w:r>
        <w:t>状态和可选动作应可见；有良好概念模型与一致系统形象；映射关系应清楚；用户应获得持续反馈。</w:t>
      </w:r>
      <w:r>
        <w:rPr>
          <w:i/>
        </w:rPr>
        <w:t xml:space="preserve"> / Visibility, good conceptual model, good mappings, continuous feedback.</w:t>
      </w:r>
    </w:p>
    <w:p w14:paraId="6F86EBF3">
      <w:pPr>
        <w:pStyle w:val="16"/>
        <w:spacing w:after="20"/>
      </w:pPr>
      <w:r>
        <w:rPr>
          <w:b/>
        </w:rPr>
        <w:t xml:space="preserve">Consistency theories — </w:t>
      </w:r>
      <w:r>
        <w:t>有序且可用少量规则描述的术语/动作，利于学习和保持；细致指南文档可以强制一致性。</w:t>
      </w:r>
      <w:r>
        <w:rPr>
          <w:i/>
        </w:rPr>
        <w:t xml:space="preserve"> / Consistency supports learning and retention.</w:t>
      </w:r>
    </w:p>
    <w:p w14:paraId="049D830A">
      <w:pPr>
        <w:pStyle w:val="16"/>
        <w:spacing w:after="20"/>
      </w:pPr>
      <w:r>
        <w:rPr>
          <w:b/>
        </w:rPr>
        <w:t xml:space="preserve">Contextual theories — </w:t>
      </w:r>
      <w:r>
        <w:t>从单台计算机转向充满传感器、响应设备、显示墙、音频设备的丰富环境；强调社会环境中的协助与干扰，设计者应在真实情境观察用户。</w:t>
      </w:r>
      <w:r>
        <w:rPr>
          <w:i/>
        </w:rPr>
        <w:t xml:space="preserve"> / Observe use in the real device-rich and social context.</w:t>
      </w:r>
    </w:p>
    <w:p w14:paraId="57DC2EE6">
      <w:r>
        <w:br w:type="page"/>
      </w:r>
    </w:p>
    <w:p w14:paraId="1558C986">
      <w:pPr>
        <w:pStyle w:val="3"/>
      </w:pPr>
      <w:r>
        <w:t>Chapter 4 — Design</w:t>
      </w:r>
    </w:p>
    <w:p w14:paraId="1470B790">
      <w:pPr>
        <w:spacing w:after="40"/>
      </w:pPr>
      <w:r>
        <w:rPr>
          <w:i/>
          <w:color w:val="5A5A5A"/>
        </w:rPr>
        <w:t>设计过程、需求、框架与误差收敛模型</w:t>
      </w:r>
    </w:p>
    <w:p w14:paraId="734F2099">
      <w:pPr>
        <w:pStyle w:val="4"/>
      </w:pPr>
      <w:r>
        <w:t>4.1 What design is / 设计是什么</w:t>
      </w:r>
    </w:p>
    <w:p w14:paraId="5E99A75E">
      <w:pPr>
        <w:pStyle w:val="16"/>
        <w:spacing w:after="20"/>
      </w:pPr>
      <w:r>
        <w:rPr>
          <w:b/>
        </w:rPr>
        <w:t xml:space="preserve">Design — </w:t>
      </w:r>
      <w:r>
        <w:t>创造人工制品（产品、服务、流程）规格的结果或过程；UI 是数字人工制品。</w:t>
      </w:r>
      <w:r>
        <w:rPr>
          <w:i/>
        </w:rPr>
        <w:t xml:space="preserve"> / The process/outcome of creating specifications for synthetic artifacts.</w:t>
      </w:r>
    </w:p>
    <w:p w14:paraId="3BE6652D">
      <w:pPr>
        <w:pStyle w:val="16"/>
        <w:spacing w:after="20"/>
      </w:pPr>
      <w:r>
        <w:rPr>
          <w:b/>
        </w:rPr>
        <w:t xml:space="preserve">Historical lesson — </w:t>
      </w:r>
      <w:r>
        <w:t>早期程序由程序员为自己和同行而设计，面对非技术用户时失败，被概括为“kind to chips but cruel to people”。</w:t>
      </w:r>
      <w:r>
        <w:rPr>
          <w:i/>
        </w:rPr>
        <w:t xml:space="preserve"> / Programmer-centered functionality fails when users are non-technical.</w:t>
      </w:r>
    </w:p>
    <w:p w14:paraId="1D56C82B">
      <w:pPr>
        <w:pStyle w:val="16"/>
        <w:spacing w:after="20"/>
      </w:pPr>
      <w:r>
        <w:rPr>
          <w:b/>
        </w:rPr>
        <w:t xml:space="preserve">Effective UIDer — </w:t>
      </w:r>
      <w:r>
        <w:t>从目标用户出发，促进而非仅提供功能；观察用户，迭代优化原型，并用早期可用性/接受度测试系统验证。</w:t>
      </w:r>
      <w:r>
        <w:rPr>
          <w:i/>
        </w:rPr>
        <w:t xml:space="preserve"> / Start with intended users and validate iteratively.</w:t>
      </w:r>
    </w:p>
    <w:p w14:paraId="4563B84B">
      <w:pPr>
        <w:pStyle w:val="4"/>
      </w:pPr>
      <w:r>
        <w:t>4.2 Design process characteristics / 设计过程特性</w:t>
      </w:r>
    </w:p>
    <w:p w14:paraId="5AD1AFA5">
      <w:pPr>
        <w:pStyle w:val="16"/>
        <w:spacing w:after="20"/>
      </w:pPr>
      <w:r>
        <w:rPr>
          <w:b/>
        </w:rPr>
        <w:t xml:space="preserve">Dynamic — </w:t>
      </w:r>
      <w:r>
        <w:t>设计不能被充分静态表示。</w:t>
      </w:r>
      <w:r>
        <w:rPr>
          <w:i/>
        </w:rPr>
        <w:t xml:space="preserve"> / Dynamic, not adequately represented statically.</w:t>
      </w:r>
    </w:p>
    <w:p w14:paraId="113CC379">
      <w:pPr>
        <w:pStyle w:val="16"/>
        <w:spacing w:after="20"/>
      </w:pPr>
      <w:r>
        <w:rPr>
          <w:b/>
        </w:rPr>
        <w:t xml:space="preserve">Nonhierarchical — </w:t>
      </w:r>
      <w:r>
        <w:t>既非严格自顶向下，也非严格自底向上。</w:t>
      </w:r>
      <w:r>
        <w:rPr>
          <w:i/>
        </w:rPr>
        <w:t xml:space="preserve"> / Neither strictly top-down nor bottom-up.</w:t>
      </w:r>
    </w:p>
    <w:p w14:paraId="267D98FC">
      <w:pPr>
        <w:pStyle w:val="16"/>
        <w:spacing w:after="20"/>
      </w:pPr>
      <w:r>
        <w:rPr>
          <w:b/>
        </w:rPr>
        <w:t xml:space="preserve">Unpredictable and transformational — </w:t>
      </w:r>
      <w:r>
        <w:t>会出现阶段性方案，最终可能被弃用；设计本身会发现新的目标。</w:t>
      </w:r>
      <w:r>
        <w:rPr>
          <w:i/>
        </w:rPr>
        <w:t xml:space="preserve"> / Partial/interim solutions may be discarded; new goals emerge.</w:t>
      </w:r>
    </w:p>
    <w:p w14:paraId="506CB1B6">
      <w:pPr>
        <w:pStyle w:val="4"/>
      </w:pPr>
      <w:r>
        <w:t>4.3 Four-phase iterative design process / 四阶段迭代设计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7"/>
        <w:gridCol w:w="3427"/>
        <w:gridCol w:w="3427"/>
      </w:tblGrid>
      <w:tr w14:paraId="74CBB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shd w:val="clear" w:color="auto" w:fill="D9EAF7"/>
            <w:vAlign w:val="top"/>
          </w:tcPr>
          <w:p w14:paraId="4D6E1847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Phase</w:t>
            </w:r>
          </w:p>
        </w:tc>
        <w:tc>
          <w:tcPr>
            <w:tcW w:w="3427" w:type="dxa"/>
            <w:shd w:val="clear" w:color="auto" w:fill="D9EAF7"/>
            <w:vAlign w:val="top"/>
          </w:tcPr>
          <w:p w14:paraId="3C980497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中文解释</w:t>
            </w:r>
          </w:p>
        </w:tc>
        <w:tc>
          <w:tcPr>
            <w:tcW w:w="3427" w:type="dxa"/>
            <w:shd w:val="clear" w:color="auto" w:fill="D9EAF7"/>
            <w:vAlign w:val="top"/>
          </w:tcPr>
          <w:p w14:paraId="22311CB2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关键产出</w:t>
            </w:r>
          </w:p>
        </w:tc>
      </w:tr>
      <w:tr w14:paraId="0C8F3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493E41E3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Requirements analysis 需求分析</w:t>
            </w:r>
          </w:p>
        </w:tc>
        <w:tc>
          <w:tcPr>
            <w:tcW w:w="3427" w:type="dxa"/>
            <w:vAlign w:val="top"/>
          </w:tcPr>
          <w:p w14:paraId="1253E087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收集并管理 UID 需求。</w:t>
            </w:r>
          </w:p>
        </w:tc>
        <w:tc>
          <w:tcPr>
            <w:tcW w:w="3427" w:type="dxa"/>
            <w:vAlign w:val="top"/>
          </w:tcPr>
          <w:p w14:paraId="531816A1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功能、非功能、UX 需求；需求文档；use cases。</w:t>
            </w:r>
          </w:p>
        </w:tc>
      </w:tr>
      <w:tr w14:paraId="76D5F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0FF4DBB6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Preliminary &amp; detailed design 初步/详细设计</w:t>
            </w:r>
          </w:p>
        </w:tc>
        <w:tc>
          <w:tcPr>
            <w:tcW w:w="3427" w:type="dxa"/>
            <w:vAlign w:val="top"/>
          </w:tcPr>
          <w:p w14:paraId="00D63AD8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初步设计是战略层的架构/概念设计；详细设计是战术层细化。</w:t>
            </w:r>
          </w:p>
        </w:tc>
        <w:tc>
          <w:tcPr>
            <w:tcW w:w="3427" w:type="dxa"/>
            <w:vAlign w:val="top"/>
          </w:tcPr>
          <w:p w14:paraId="31B786A8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概念图、控制、显示、导航、整体工作流与 mental model；具体界面细节。</w:t>
            </w:r>
          </w:p>
        </w:tc>
      </w:tr>
      <w:tr w14:paraId="06DDD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1C99C0CD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Build &amp; implementation 构建实现</w:t>
            </w:r>
          </w:p>
        </w:tc>
        <w:tc>
          <w:tcPr>
            <w:tcW w:w="3427" w:type="dxa"/>
            <w:vAlign w:val="top"/>
          </w:tcPr>
          <w:p w14:paraId="05A2EDBF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实际软硬件工程实施。</w:t>
            </w:r>
          </w:p>
        </w:tc>
        <w:tc>
          <w:tcPr>
            <w:tcW w:w="3427" w:type="dxa"/>
            <w:vAlign w:val="top"/>
          </w:tcPr>
          <w:p w14:paraId="79DC57E7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可运行系统/原型。</w:t>
            </w:r>
          </w:p>
        </w:tc>
      </w:tr>
      <w:tr w14:paraId="4F6E4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58808E99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Evaluation 评价</w:t>
            </w:r>
          </w:p>
        </w:tc>
        <w:tc>
          <w:tcPr>
            <w:tcW w:w="3427" w:type="dxa"/>
            <w:vAlign w:val="top"/>
          </w:tcPr>
          <w:p w14:paraId="7CBC66F5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检验实现是否符合此前设计与需求。</w:t>
            </w:r>
          </w:p>
        </w:tc>
        <w:tc>
          <w:tcPr>
            <w:tcW w:w="3427" w:type="dxa"/>
            <w:vAlign w:val="top"/>
          </w:tcPr>
          <w:p w14:paraId="683C8948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发现问题并反馈进入下一轮。</w:t>
            </w:r>
          </w:p>
        </w:tc>
      </w:tr>
    </w:tbl>
    <w:p w14:paraId="6B288B26">
      <w:pPr>
        <w:spacing w:after="20"/>
      </w:pPr>
    </w:p>
    <w:p w14:paraId="6852401E">
      <w:pPr>
        <w:pStyle w:val="5"/>
      </w:pPr>
      <w:r>
        <w:t>Requirements and use cases / 需求与用例</w:t>
      </w:r>
    </w:p>
    <w:p w14:paraId="7CCFCF5F">
      <w:pPr>
        <w:pStyle w:val="16"/>
        <w:spacing w:after="20"/>
      </w:pPr>
      <w:r>
        <w:rPr>
          <w:b/>
        </w:rPr>
        <w:t xml:space="preserve">Functional requirements 功能需求 — </w:t>
      </w:r>
      <w:r>
        <w:t>规定 UI 系统必须支持的具体行为，常由 use cases 捕获。</w:t>
      </w:r>
      <w:r>
        <w:rPr>
          <w:i/>
        </w:rPr>
        <w:t xml:space="preserve"> / Specific behavior the system must support.</w:t>
      </w:r>
    </w:p>
    <w:p w14:paraId="0204FD08">
      <w:pPr>
        <w:pStyle w:val="16"/>
        <w:spacing w:after="20"/>
      </w:pPr>
      <w:r>
        <w:rPr>
          <w:b/>
        </w:rPr>
        <w:t xml:space="preserve">Non-functional requirements 非功能需求 — </w:t>
      </w:r>
      <w:r>
        <w:t>规定硬件、软件、性能、可靠性等总体运行标准，不对应某单一动作。</w:t>
      </w:r>
      <w:r>
        <w:rPr>
          <w:i/>
        </w:rPr>
        <w:t xml:space="preserve"> / Overall operating criteria not tied to one behavior.</w:t>
      </w:r>
    </w:p>
    <w:p w14:paraId="26493BCE">
      <w:pPr>
        <w:pStyle w:val="16"/>
        <w:spacing w:after="20"/>
      </w:pPr>
      <w:r>
        <w:rPr>
          <w:b/>
        </w:rPr>
        <w:t xml:space="preserve">UX requirements 用户体验需求 — </w:t>
      </w:r>
      <w:r>
        <w:t>针对交互/界面系统的具体非功能需求，例如导航、输入、颜色等。</w:t>
      </w:r>
      <w:r>
        <w:rPr>
          <w:i/>
        </w:rPr>
        <w:t xml:space="preserve"> / Concrete interaction-related nonfunctional requirements.</w:t>
      </w:r>
    </w:p>
    <w:p w14:paraId="5B3605E2">
      <w:pPr>
        <w:pStyle w:val="16"/>
        <w:spacing w:after="20"/>
      </w:pPr>
      <w:r>
        <w:rPr>
          <w:b/>
        </w:rPr>
        <w:t xml:space="preserve">Use cases 用例 — </w:t>
      </w:r>
      <w:r>
        <w:t>以逐步场景形式描述 actor 与系统操作；本课 actor 重点是人类用户。所有功能应支持至少一个 use case；若所有用例均能完成，系统在功能正确性/有效性方面得到直接验证路径。</w:t>
      </w:r>
      <w:r>
        <w:rPr>
          <w:i/>
        </w:rPr>
        <w:t xml:space="preserve"> / Formalized step-by-step scenarios; basis for evaluation.</w:t>
      </w:r>
    </w:p>
    <w:p w14:paraId="4787CB73">
      <w:pPr>
        <w:pStyle w:val="4"/>
      </w:pPr>
      <w:r>
        <w:t>4.4 Design frameworks / 设计框架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1"/>
        <w:gridCol w:w="5141"/>
      </w:tblGrid>
      <w:tr w14:paraId="210EE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shd w:val="clear" w:color="auto" w:fill="D9EAF7"/>
            <w:vAlign w:val="top"/>
          </w:tcPr>
          <w:p w14:paraId="0CFABBCC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Framework</w:t>
            </w:r>
          </w:p>
        </w:tc>
        <w:tc>
          <w:tcPr>
            <w:tcW w:w="5141" w:type="dxa"/>
            <w:shd w:val="clear" w:color="auto" w:fill="D9EAF7"/>
            <w:vAlign w:val="top"/>
          </w:tcPr>
          <w:p w14:paraId="487F1364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中文定义</w:t>
            </w:r>
          </w:p>
        </w:tc>
      </w:tr>
      <w:tr w14:paraId="4CD04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226621A2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User-Centered Design (UCD) 以用户为中心设计</w:t>
            </w:r>
          </w:p>
        </w:tc>
        <w:tc>
          <w:tcPr>
            <w:tcW w:w="5141" w:type="dxa"/>
            <w:vAlign w:val="top"/>
          </w:tcPr>
          <w:p w14:paraId="257E68E0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在每阶段以真实终端用户的需求、愿望与限制为依据；也需要准确提炼非技术业务方需求。</w:t>
            </w:r>
          </w:p>
        </w:tc>
      </w:tr>
      <w:tr w14:paraId="16DA3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06B37BC6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Participatory Design 参与式设计</w:t>
            </w:r>
          </w:p>
        </w:tc>
        <w:tc>
          <w:tcPr>
            <w:tcW w:w="5141" w:type="dxa"/>
            <w:vAlign w:val="top"/>
          </w:tcPr>
          <w:p w14:paraId="60099AF2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让用户直接参与其将使用的技术与事物的设计，也称 cooperative design。</w:t>
            </w:r>
          </w:p>
        </w:tc>
      </w:tr>
      <w:tr w14:paraId="2EF17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4A74D784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Agile Design 敏捷设计</w:t>
            </w:r>
          </w:p>
        </w:tc>
        <w:tc>
          <w:tcPr>
            <w:tcW w:w="5141" w:type="dxa"/>
            <w:vAlign w:val="top"/>
          </w:tcPr>
          <w:p w14:paraId="20A78BA8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自组织、动态团队使用的灵活/适应/快速方法；基于演化式、增量式开发与快速发布周期，适应需求变化。</w:t>
            </w:r>
          </w:p>
        </w:tc>
      </w:tr>
    </w:tbl>
    <w:p w14:paraId="1C4B6436">
      <w:pPr>
        <w:spacing w:after="20"/>
      </w:pPr>
    </w:p>
    <w:p w14:paraId="7F4F74A6">
      <w:pPr>
        <w:pStyle w:val="4"/>
      </w:pPr>
      <w:r>
        <w:t>4.5 Advanced: error modelling / 高阶：误差建模</w:t>
      </w:r>
    </w:p>
    <w:p w14:paraId="73DE6BEE">
      <w:pPr>
        <w:pStyle w:val="16"/>
        <w:spacing w:after="20"/>
      </w:pPr>
      <w:r>
        <w:rPr>
          <w:b/>
        </w:rPr>
        <w:t xml:space="preserve">Open-loop error rate 开环误差率 — </w:t>
      </w:r>
      <w:r>
        <w:t>需求分析误差 R、初步/详细设计误差 D、构建实现误差 I 叠加：E = (1+R)(1+D)(1+I) − 1。</w:t>
      </w:r>
      <w:r>
        <w:rPr>
          <w:i/>
        </w:rPr>
        <w:t xml:space="preserve"> / Errors compound rather than merely add.</w:t>
      </w:r>
    </w:p>
    <w:p w14:paraId="4E67588E">
      <w:pPr>
        <w:pStyle w:val="16"/>
        <w:spacing w:after="20"/>
      </w:pPr>
      <w:r>
        <w:rPr>
          <w:b/>
        </w:rPr>
        <w:t xml:space="preserve">Open-loop period 开环周期 — </w:t>
      </w:r>
      <w:r>
        <w:t>T = T_R + T_D + T_I + T_V；实际项目时间往往显著大于一次开环周期。</w:t>
      </w:r>
      <w:r>
        <w:rPr>
          <w:i/>
        </w:rPr>
        <w:t xml:space="preserve"> / Project duration is usually more than one open-loop period.</w:t>
      </w:r>
    </w:p>
    <w:p w14:paraId="6BB9DBF1">
      <w:pPr>
        <w:pStyle w:val="16"/>
        <w:spacing w:after="20"/>
      </w:pPr>
      <w:r>
        <w:rPr>
          <w:b/>
        </w:rPr>
        <w:t xml:space="preserve">Closed-loop convergence 闭环收敛 — </w:t>
      </w:r>
      <w:r>
        <w:t>第 n 次循环误差为 E^n；当且仅当 E &lt; 1 时，E^n → 0。</w:t>
      </w:r>
      <w:r>
        <w:rPr>
          <w:i/>
        </w:rPr>
        <w:t xml:space="preserve"> / Converges only if E &lt; 1.</w:t>
      </w:r>
    </w:p>
    <w:p w14:paraId="161AA468">
      <w:pPr>
        <w:pStyle w:val="16"/>
        <w:spacing w:after="20"/>
      </w:pPr>
      <w:r>
        <w:rPr>
          <w:b/>
        </w:rPr>
        <w:t xml:space="preserve">Threshold 误差阈值 — </w:t>
      </w:r>
      <w:r>
        <w:t>若目标为 E^n &lt; C，则 n &gt; log_E(C)（在 0&lt;E&lt;1 时理解为需足够多循环）。</w:t>
      </w:r>
      <w:r>
        <w:rPr>
          <w:i/>
        </w:rPr>
        <w:t xml:space="preserve"> / Number of cycles is determined by the convergence threshold.</w:t>
      </w:r>
    </w:p>
    <w:p w14:paraId="7F8C2D17">
      <w:pPr>
        <w:pStyle w:val="16"/>
        <w:spacing w:after="20"/>
      </w:pPr>
      <w:r>
        <w:rPr>
          <w:b/>
        </w:rPr>
        <w:t xml:space="preserve">Dynamic requirements 动态需求 — </w:t>
      </w:r>
      <w:r>
        <w:t>需求变化率 V 存在时：E_n = E(E_{n−1}+V)。课件给出静态残余误差 E∞ = EV/(1−E)（当 E&lt;1、V 恒定）。</w:t>
      </w:r>
      <w:r>
        <w:rPr>
          <w:i/>
        </w:rPr>
        <w:t xml:space="preserve"> / Changing requirements leave a nonzero residual error.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2"/>
      </w:tblGrid>
      <w:tr w14:paraId="6E925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82" w:type="dxa"/>
            <w:shd w:val="clear" w:color="auto" w:fill="EAF3F8"/>
          </w:tcPr>
          <w:p w14:paraId="22DCB1EF">
            <w:pPr>
              <w:spacing w:after="0" w:line="240" w:lineRule="auto"/>
            </w:pPr>
            <w:r>
              <w:rPr>
                <w:b/>
                <w:color w:val="1F4E79"/>
              </w:rPr>
              <w:t>公式题必须会 / Formula practice</w:t>
            </w:r>
          </w:p>
          <w:p w14:paraId="7FACBF9E">
            <w:pPr>
              <w:pStyle w:val="16"/>
              <w:spacing w:after="0" w:line="240" w:lineRule="auto"/>
            </w:pPr>
            <w:r>
              <w:t>R=D=I=10%：E=1.1^3−1≈33%。R=D=I=15%：E=1.15^3−1≈52%。</w:t>
            </w:r>
          </w:p>
          <w:p w14:paraId="524E05FC">
            <w:pPr>
              <w:pStyle w:val="16"/>
              <w:spacing w:after="0" w:line="240" w:lineRule="auto"/>
            </w:pPr>
            <w:r>
              <w:t>R=30%, D=25%, I=25%：E≈103%&gt;1，因此发散、不能收敛。</w:t>
            </w:r>
          </w:p>
          <w:p w14:paraId="76E372BC">
            <w:pPr>
              <w:pStyle w:val="16"/>
              <w:spacing w:after="0" w:line="240" w:lineRule="auto"/>
            </w:pPr>
            <w:r>
              <w:t>E=50%, V=20%：E∞=0.5×0.2/(1−0.5)=20%。</w:t>
            </w:r>
          </w:p>
        </w:tc>
      </w:tr>
    </w:tbl>
    <w:p w14:paraId="01AE970C">
      <w:pPr>
        <w:spacing w:after="20"/>
      </w:pPr>
    </w:p>
    <w:p w14:paraId="3DE786CE">
      <w:r>
        <w:br w:type="page"/>
      </w:r>
    </w:p>
    <w:p w14:paraId="7275B0AF">
      <w:pPr>
        <w:pStyle w:val="3"/>
      </w:pPr>
      <w:r>
        <w:t>Chapter 5 — Evaluation and the User Experience</w:t>
      </w:r>
    </w:p>
    <w:p w14:paraId="028E59B2">
      <w:pPr>
        <w:spacing w:after="40"/>
      </w:pPr>
      <w:r>
        <w:rPr>
          <w:i/>
          <w:color w:val="5A5A5A"/>
        </w:rPr>
        <w:t>课件未上传：本章不能据空白补写</w:t>
      </w:r>
    </w:p>
    <w:p w14:paraId="4D2A7EBE">
      <w:pPr>
        <w:spacing w:after="40"/>
      </w:pPr>
      <w:r>
        <w:t>课程安排页显示 Chapter 5 为 “Evaluation and the user experience”，位于 Week 6；但本次上传的文件中没有 Chapter 5 对应 PPT。为避免捏造，本复习资料不把一般 HCI 评价方法当作本课已授内容。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2"/>
      </w:tblGrid>
      <w:tr w14:paraId="0D0C8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282" w:type="dxa"/>
            <w:shd w:val="clear" w:color="auto" w:fill="EAF3F8"/>
          </w:tcPr>
          <w:p w14:paraId="69C1BBF2">
            <w:pPr>
              <w:spacing w:after="0" w:line="240" w:lineRule="auto"/>
            </w:pPr>
            <w:r>
              <w:rPr>
                <w:b/>
                <w:color w:val="1F4E79"/>
              </w:rPr>
              <w:t>复习建议 / What to obtain</w:t>
            </w:r>
          </w:p>
          <w:p w14:paraId="178B6D93">
            <w:pPr>
              <w:pStyle w:val="16"/>
              <w:spacing w:after="0" w:line="240" w:lineRule="auto"/>
            </w:pPr>
            <w:r>
              <w:t>向课程 Teams、同学或教师获取 Ch.5 PPT；重点确认评价方法、实验/可用性测试、启发式评估、用户体验指标是否有独立定义与流程。</w:t>
            </w:r>
          </w:p>
          <w:p w14:paraId="5A02EF4A">
            <w:pPr>
              <w:pStyle w:val="16"/>
              <w:spacing w:after="0" w:line="240" w:lineRule="auto"/>
            </w:pPr>
            <w:r>
              <w:t>在拿到课件前，Chapter 1 的 usability measures 和 Chapter 4 的 evaluation phase 仅可作为关联复习，不能代替 Ch.5。</w:t>
            </w:r>
          </w:p>
        </w:tc>
      </w:tr>
    </w:tbl>
    <w:p w14:paraId="72C43E6F">
      <w:pPr>
        <w:spacing w:after="20"/>
      </w:pPr>
    </w:p>
    <w:p w14:paraId="0851B50D">
      <w:r>
        <w:br w:type="page"/>
      </w:r>
    </w:p>
    <w:p w14:paraId="4CA5C037">
      <w:pPr>
        <w:pStyle w:val="3"/>
      </w:pPr>
      <w:r>
        <w:t>Chapter 7 — Direct Manipulation and Immersive Environments</w:t>
      </w:r>
    </w:p>
    <w:p w14:paraId="00A30A09">
      <w:pPr>
        <w:spacing w:after="40"/>
      </w:pPr>
      <w:r>
        <w:rPr>
          <w:i/>
          <w:color w:val="5A5A5A"/>
        </w:rPr>
        <w:t>直接操控、隐喻、VR/AR</w:t>
      </w:r>
    </w:p>
    <w:p w14:paraId="7759CC01">
      <w:pPr>
        <w:pStyle w:val="4"/>
      </w:pPr>
      <w:r>
        <w:t>7.1 Direct manipulation / 直接操控</w:t>
      </w:r>
    </w:p>
    <w:p w14:paraId="427AA078">
      <w:pPr>
        <w:pStyle w:val="16"/>
        <w:spacing w:after="20"/>
      </w:pPr>
      <w:r>
        <w:rPr>
          <w:b/>
        </w:rPr>
        <w:t xml:space="preserve">WYSIWYG — </w:t>
      </w:r>
      <w:r>
        <w:t>“What You See Is What You Get”环境是现代用户常见预期。</w:t>
      </w:r>
      <w:r>
        <w:rPr>
          <w:i/>
        </w:rPr>
        <w:t xml:space="preserve"> / Users expect visible, directly manipulable representations.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1"/>
        <w:gridCol w:w="5141"/>
      </w:tblGrid>
      <w:tr w14:paraId="58EDF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shd w:val="clear" w:color="auto" w:fill="D9EAF7"/>
            <w:vAlign w:val="top"/>
          </w:tcPr>
          <w:p w14:paraId="201BBB64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Three principles</w:t>
            </w:r>
          </w:p>
        </w:tc>
        <w:tc>
          <w:tcPr>
            <w:tcW w:w="5141" w:type="dxa"/>
            <w:shd w:val="clear" w:color="auto" w:fill="D9EAF7"/>
            <w:vAlign w:val="top"/>
          </w:tcPr>
          <w:p w14:paraId="77D96D39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中文解释</w:t>
            </w:r>
          </w:p>
        </w:tc>
      </w:tr>
      <w:tr w14:paraId="56F90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40AC574F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Continuous representation</w:t>
            </w:r>
          </w:p>
        </w:tc>
        <w:tc>
          <w:tcPr>
            <w:tcW w:w="5141" w:type="dxa"/>
            <w:vAlign w:val="top"/>
          </w:tcPr>
          <w:p w14:paraId="514C2196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持续呈现用户关注的对象和动作，并使用有意义的视觉隐喻。</w:t>
            </w:r>
          </w:p>
        </w:tc>
      </w:tr>
      <w:tr w14:paraId="6DAA4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32333D01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Physical actions over complex syntax</w:t>
            </w:r>
          </w:p>
        </w:tc>
        <w:tc>
          <w:tcPr>
            <w:tcW w:w="5141" w:type="dxa"/>
            <w:vAlign w:val="top"/>
          </w:tcPr>
          <w:p w14:paraId="26EBDAEB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用物理动作或点击有标签 UI 对象代替复杂语法。</w:t>
            </w:r>
          </w:p>
        </w:tc>
      </w:tr>
      <w:tr w14:paraId="400B6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648E64DD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Rapid, incremental, reversible actions</w:t>
            </w:r>
          </w:p>
        </w:tc>
        <w:tc>
          <w:tcPr>
            <w:tcW w:w="5141" w:type="dxa"/>
            <w:vAlign w:val="top"/>
          </w:tcPr>
          <w:p w14:paraId="6DB808A0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快速、渐进、可逆，且对象变化立即可见。</w:t>
            </w:r>
          </w:p>
        </w:tc>
      </w:tr>
    </w:tbl>
    <w:p w14:paraId="6F8B19E0">
      <w:pPr>
        <w:spacing w:after="20"/>
      </w:pPr>
    </w:p>
    <w:p w14:paraId="3B0BC284">
      <w:pPr>
        <w:pStyle w:val="16"/>
        <w:spacing w:after="20"/>
      </w:pPr>
      <w:r>
        <w:rPr>
          <w:b/>
        </w:rPr>
        <w:t xml:space="preserve">UI metaphors 界面隐喻 — </w:t>
      </w:r>
      <w:r>
        <w:t>将熟悉现实概念（source domain）映射到数字实体（target domain），例如桌面/文件夹/垃圾桶、网页如杂志页、购物车、工具栏/菜单栏。</w:t>
      </w:r>
      <w:r>
        <w:rPr>
          <w:i/>
        </w:rPr>
        <w:t xml:space="preserve"> / Map familiar real-world concepts to digital entities.</w:t>
      </w:r>
    </w:p>
    <w:p w14:paraId="35B3E88F">
      <w:pPr>
        <w:pStyle w:val="16"/>
        <w:spacing w:after="20"/>
      </w:pPr>
      <w:r>
        <w:rPr>
          <w:b/>
        </w:rPr>
        <w:t xml:space="preserve">Translational distance 转换距离 — </w:t>
      </w:r>
      <w:r>
        <w:t>直接操控隐喻强度可从弱到沉浸：早期游戏控制器（弱）→ 触屏/多点触控（中）→ 数据手套/手势/有形物（强）→ VR/AR（沉浸）。</w:t>
      </w:r>
      <w:r>
        <w:rPr>
          <w:i/>
        </w:rPr>
        <w:t xml:space="preserve"> / A continuum from weak representation to immersive interaction.</w:t>
      </w:r>
    </w:p>
    <w:p w14:paraId="5AFD3D19">
      <w:pPr>
        <w:pStyle w:val="16"/>
        <w:spacing w:after="20"/>
      </w:pPr>
      <w:r>
        <w:rPr>
          <w:b/>
        </w:rPr>
        <w:t xml:space="preserve">Advantages 优点 — </w:t>
      </w:r>
      <w:r>
        <w:t>生动呈现任务概念、易学易记、较可能避免错误、鼓励探索、主观满意度高。</w:t>
      </w:r>
      <w:r>
        <w:rPr>
          <w:i/>
        </w:rPr>
        <w:t xml:space="preserve"> / Vivid concepts, learnability, retention, exploration, satisfaction.</w:t>
      </w:r>
    </w:p>
    <w:p w14:paraId="042D99DB">
      <w:pPr>
        <w:pStyle w:val="16"/>
        <w:spacing w:after="20"/>
      </w:pPr>
      <w:r>
        <w:rPr>
          <w:b/>
        </w:rPr>
        <w:t xml:space="preserve">Disadvantages 缺点 — </w:t>
      </w:r>
      <w:r>
        <w:t>可能难编程；对视障用户不友好；占用屏幕空间，可能需要滚动或更多操作。</w:t>
      </w:r>
      <w:r>
        <w:rPr>
          <w:i/>
        </w:rPr>
        <w:t xml:space="preserve"> / Programming difficulty, accessibility limitations, screen-space cost.</w:t>
      </w:r>
    </w:p>
    <w:p w14:paraId="5FFA9298">
      <w:pPr>
        <w:pStyle w:val="4"/>
      </w:pPr>
      <w:r>
        <w:t>7.2 Examples and immersive environments / 示例与沉浸环境</w:t>
      </w:r>
    </w:p>
    <w:p w14:paraId="65ED8580">
      <w:pPr>
        <w:spacing w:after="40"/>
      </w:pPr>
      <w:r>
        <w:t>课件示例：地理系统（北斗/GPS、街景）、游戏（扫雷、超级马里奥、魔兽世界）、CAD/CAM（AutoCAD、3D Max、数字孪生）、直接操控式编程/配置（Excel、LabVIEW、RTMaps）、3D UI、远程操控/移动远程临场。</w:t>
      </w:r>
    </w:p>
    <w:p w14:paraId="6DAE68B8">
      <w:pPr>
        <w:pStyle w:val="16"/>
        <w:spacing w:after="20"/>
      </w:pPr>
      <w:r>
        <w:rPr>
          <w:b/>
        </w:rPr>
        <w:t xml:space="preserve">Virtual Reality (VR) — </w:t>
      </w:r>
      <w:r>
        <w:t>生成完全合成的图像，以模拟真实世界或纯想象现实。</w:t>
      </w:r>
      <w:r>
        <w:rPr>
          <w:i/>
        </w:rPr>
        <w:t xml:space="preserve"> / Completely synthetic images/worlds.</w:t>
      </w:r>
    </w:p>
    <w:p w14:paraId="6D0637CB">
      <w:pPr>
        <w:pStyle w:val="16"/>
        <w:spacing w:after="20"/>
      </w:pPr>
      <w:r>
        <w:rPr>
          <w:b/>
        </w:rPr>
        <w:t xml:space="preserve">Augmented Reality (AR) — </w:t>
      </w:r>
      <w:r>
        <w:t>在真实世界采集图像上叠加虚拟元素，以帮助理解现实图像。</w:t>
      </w:r>
      <w:r>
        <w:rPr>
          <w:i/>
        </w:rPr>
        <w:t xml:space="preserve"> / Virtual elements over captured real-world imagery.</w:t>
      </w:r>
    </w:p>
    <w:p w14:paraId="06130C6A">
      <w:r>
        <w:br w:type="page"/>
      </w:r>
    </w:p>
    <w:p w14:paraId="1491A382">
      <w:pPr>
        <w:pStyle w:val="3"/>
      </w:pPr>
      <w:r>
        <w:t>Chapter 8 — Navigation, Form Fill-In, Dialog Boxes</w:t>
      </w:r>
    </w:p>
    <w:p w14:paraId="10DB721D">
      <w:pPr>
        <w:spacing w:after="40"/>
      </w:pPr>
      <w:r>
        <w:rPr>
          <w:i/>
          <w:color w:val="5A5A5A"/>
        </w:rPr>
        <w:t>选择式导航、内容组织、表单与对话框</w:t>
      </w:r>
    </w:p>
    <w:p w14:paraId="3548717C">
      <w:pPr>
        <w:pStyle w:val="4"/>
      </w:pPr>
      <w:r>
        <w:t>8.1 Navigation by selection / 选择式导航</w:t>
      </w:r>
    </w:p>
    <w:p w14:paraId="22A24E06">
      <w:pPr>
        <w:pStyle w:val="16"/>
        <w:spacing w:after="20"/>
      </w:pPr>
      <w:r>
        <w:rPr>
          <w:b/>
        </w:rPr>
        <w:t xml:space="preserve">Goal — </w:t>
      </w:r>
      <w:r>
        <w:t>利用用户快速扫视、识别相关项、选择目标的能力，实现流畅导航：能自信到达目的地、探索新路径、必要时回退。</w:t>
      </w:r>
      <w:r>
        <w:rPr>
          <w:i/>
        </w:rPr>
        <w:t xml:space="preserve"> / Fluid navigation supports reaching goals, exploration, and backtracking.</w:t>
      </w:r>
    </w:p>
    <w:p w14:paraId="3AF74899">
      <w:pPr>
        <w:pStyle w:val="16"/>
        <w:spacing w:after="20"/>
      </w:pPr>
      <w:r>
        <w:rPr>
          <w:b/>
        </w:rPr>
        <w:t xml:space="preserve">Explicit vs embedded choices — </w:t>
      </w:r>
      <w:r>
        <w:t>选项可以明确枚举，也可嵌入文字/图形但仍可选。</w:t>
      </w:r>
      <w:r>
        <w:rPr>
          <w:i/>
        </w:rPr>
        <w:t xml:space="preserve"> / Choices may be explicit lists or embedded selectable content.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1"/>
        <w:gridCol w:w="5141"/>
      </w:tblGrid>
      <w:tr w14:paraId="0C769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shd w:val="clear" w:color="auto" w:fill="D9EAF7"/>
            <w:vAlign w:val="top"/>
          </w:tcPr>
          <w:p w14:paraId="7E1020E3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Control</w:t>
            </w:r>
          </w:p>
        </w:tc>
        <w:tc>
          <w:tcPr>
            <w:tcW w:w="5141" w:type="dxa"/>
            <w:shd w:val="clear" w:color="auto" w:fill="D9EAF7"/>
            <w:vAlign w:val="top"/>
          </w:tcPr>
          <w:p w14:paraId="49B8E995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正确用途</w:t>
            </w:r>
          </w:p>
        </w:tc>
      </w:tr>
      <w:tr w14:paraId="52B65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446F2440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Binary menu</w:t>
            </w:r>
          </w:p>
        </w:tc>
        <w:tc>
          <w:tcPr>
            <w:tcW w:w="5141" w:type="dxa"/>
            <w:vAlign w:val="top"/>
          </w:tcPr>
          <w:p w14:paraId="4C498A4C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最简单显式菜单：Yes/No、True/False、Previous/Next、Agree/Disagree。</w:t>
            </w:r>
          </w:p>
        </w:tc>
      </w:tr>
      <w:tr w14:paraId="56F4D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18A010BC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Grid menu</w:t>
            </w:r>
          </w:p>
        </w:tc>
        <w:tc>
          <w:tcPr>
            <w:tcW w:w="5141" w:type="dxa"/>
            <w:vAlign w:val="top"/>
          </w:tcPr>
          <w:p w14:paraId="3B0815A5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少量图标与标签。</w:t>
            </w:r>
          </w:p>
        </w:tc>
      </w:tr>
      <w:tr w14:paraId="01187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54076D7E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Radio buttons</w:t>
            </w:r>
          </w:p>
        </w:tc>
        <w:tc>
          <w:tcPr>
            <w:tcW w:w="5141" w:type="dxa"/>
            <w:vAlign w:val="top"/>
          </w:tcPr>
          <w:p w14:paraId="24D1F32B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多项中单选。</w:t>
            </w:r>
          </w:p>
        </w:tc>
      </w:tr>
      <w:tr w14:paraId="6DF92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0C62DE38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Check boxes</w:t>
            </w:r>
          </w:p>
        </w:tc>
        <w:tc>
          <w:tcPr>
            <w:tcW w:w="5141" w:type="dxa"/>
            <w:vAlign w:val="top"/>
          </w:tcPr>
          <w:p w14:paraId="46A653B8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多项中可选一项或多项。</w:t>
            </w:r>
          </w:p>
        </w:tc>
      </w:tr>
      <w:tr w14:paraId="452E3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1A583A30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Menu bar / pull-down / sub-menu</w:t>
            </w:r>
          </w:p>
        </w:tc>
        <w:tc>
          <w:tcPr>
            <w:tcW w:w="5141" w:type="dxa"/>
            <w:vAlign w:val="top"/>
          </w:tcPr>
          <w:p w14:paraId="5BB7AC0E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常位于顶部；可展开子菜单或进入对话框。</w:t>
            </w:r>
          </w:p>
        </w:tc>
      </w:tr>
      <w:tr w14:paraId="67DF5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79FEF53F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Hamburger / toolbar / palette</w:t>
            </w:r>
          </w:p>
        </w:tc>
        <w:tc>
          <w:tcPr>
            <w:tcW w:w="5141" w:type="dxa"/>
            <w:vAlign w:val="top"/>
          </w:tcPr>
          <w:p w14:paraId="14BBA62E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进入独立菜单屏、快速工具命令或工具集合。</w:t>
            </w:r>
          </w:p>
        </w:tc>
      </w:tr>
      <w:tr w14:paraId="0C049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6E8DCC24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Pop-up / context menu</w:t>
            </w:r>
          </w:p>
        </w:tc>
        <w:tc>
          <w:tcPr>
            <w:tcW w:w="5141" w:type="dxa"/>
            <w:vAlign w:val="top"/>
          </w:tcPr>
          <w:p w14:paraId="578835BD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点击/轻触出现；context menu 的内容取决于光标位置。</w:t>
            </w:r>
          </w:p>
        </w:tc>
      </w:tr>
      <w:tr w14:paraId="6049B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3D89E407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Ribbons / tabs</w:t>
            </w:r>
          </w:p>
        </w:tc>
        <w:tc>
          <w:tcPr>
            <w:tcW w:w="5141" w:type="dxa"/>
            <w:vAlign w:val="top"/>
          </w:tcPr>
          <w:p w14:paraId="568A8418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Microsoft Office 2007 引入；按任务用标签组织命令。</w:t>
            </w:r>
          </w:p>
        </w:tc>
      </w:tr>
      <w:tr w14:paraId="1B60C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4ED3B8B5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Scrolling menu</w:t>
            </w:r>
          </w:p>
        </w:tc>
        <w:tc>
          <w:tcPr>
            <w:tcW w:w="5141" w:type="dxa"/>
            <w:vAlign w:val="top"/>
          </w:tcPr>
          <w:p w14:paraId="6271872C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适用于长列表。</w:t>
            </w:r>
          </w:p>
        </w:tc>
      </w:tr>
    </w:tbl>
    <w:p w14:paraId="44332811">
      <w:pPr>
        <w:spacing w:after="20"/>
      </w:pPr>
    </w:p>
    <w:p w14:paraId="6941DE75">
      <w:pPr>
        <w:pStyle w:val="4"/>
      </w:pPr>
      <w:r>
        <w:t>8.2 Content organization / 内容组织</w:t>
      </w:r>
    </w:p>
    <w:p w14:paraId="251DAF9A">
      <w:pPr>
        <w:pStyle w:val="16"/>
        <w:spacing w:after="20"/>
      </w:pPr>
      <w:r>
        <w:rPr>
          <w:b/>
        </w:rPr>
        <w:t xml:space="preserve">Tree structure 树结构 — </w:t>
      </w:r>
      <w:r>
        <w:t>在逻辑上清晰且易用；但有时 network structure 更合适。</w:t>
      </w:r>
      <w:r>
        <w:rPr>
          <w:i/>
        </w:rPr>
        <w:t xml:space="preserve"> / Tree structures are often clear, but networks may fit some tasks.</w:t>
      </w:r>
    </w:p>
    <w:p w14:paraId="2EB22CB9">
      <w:pPr>
        <w:pStyle w:val="16"/>
        <w:spacing w:after="20"/>
      </w:pPr>
      <w:r>
        <w:rPr>
          <w:b/>
        </w:rPr>
        <w:t xml:space="preserve">Presentation sequence 展示顺序 — </w:t>
      </w:r>
      <w:r>
        <w:t>按频率把高频项置顶可提升选择速度，但可能破坏低频项的有意义排序；可采用 adaptive split-menu strategy。</w:t>
      </w:r>
      <w:r>
        <w:rPr>
          <w:i/>
        </w:rPr>
        <w:t xml:space="preserve"> / Frequency ordering trades speed against meaningful structure.</w:t>
      </w:r>
    </w:p>
    <w:p w14:paraId="18FADED9">
      <w:pPr>
        <w:pStyle w:val="16"/>
        <w:spacing w:after="20"/>
      </w:pPr>
      <w:r>
        <w:rPr>
          <w:b/>
        </w:rPr>
        <w:t xml:space="preserve">Phrasing 措辞 — </w:t>
      </w:r>
      <w:r>
        <w:t>使用熟悉、一致、彼此区分的术语；简洁；把关键词前置。</w:t>
      </w:r>
      <w:r>
        <w:rPr>
          <w:i/>
        </w:rPr>
        <w:t xml:space="preserve"> / Familiar, distinct, concise phrasing with key words first.</w:t>
      </w:r>
    </w:p>
    <w:p w14:paraId="3F58F5D5">
      <w:pPr>
        <w:pStyle w:val="16"/>
        <w:spacing w:after="20"/>
      </w:pPr>
      <w:r>
        <w:rPr>
          <w:b/>
        </w:rPr>
        <w:t xml:space="preserve">Layout consistency — </w:t>
      </w:r>
      <w:r>
        <w:t>标题、项目、说明和错误信息的布局都应保持一致。</w:t>
      </w:r>
      <w:r>
        <w:rPr>
          <w:i/>
        </w:rPr>
        <w:t xml:space="preserve"> / Keep titles, items, instructions, and errors consistent.</w:t>
      </w:r>
    </w:p>
    <w:p w14:paraId="1813E212">
      <w:pPr>
        <w:pStyle w:val="4"/>
      </w:pPr>
      <w:r>
        <w:t>8.3 Form fill-in / 表单填写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1"/>
        <w:gridCol w:w="5141"/>
      </w:tblGrid>
      <w:tr w14:paraId="16A67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shd w:val="clear" w:color="auto" w:fill="D9EAF7"/>
            <w:vAlign w:val="top"/>
          </w:tcPr>
          <w:p w14:paraId="1DC1CDBE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Design element</w:t>
            </w:r>
          </w:p>
        </w:tc>
        <w:tc>
          <w:tcPr>
            <w:tcW w:w="5141" w:type="dxa"/>
            <w:shd w:val="clear" w:color="auto" w:fill="D9EAF7"/>
            <w:vAlign w:val="top"/>
          </w:tcPr>
          <w:p w14:paraId="5A73C376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中文要求</w:t>
            </w:r>
          </w:p>
        </w:tc>
      </w:tr>
      <w:tr w14:paraId="70E2B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3DB2C7EF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Title/instructions/labels</w:t>
            </w:r>
          </w:p>
        </w:tc>
        <w:tc>
          <w:tcPr>
            <w:tcW w:w="5141" w:type="dxa"/>
            <w:vAlign w:val="top"/>
          </w:tcPr>
          <w:p w14:paraId="78261C79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有意义标题、完整说明、字段标签；标签位置保持一致。</w:t>
            </w:r>
          </w:p>
        </w:tc>
      </w:tr>
      <w:tr w14:paraId="5C133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5937825C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Limit entry</w:t>
            </w:r>
          </w:p>
        </w:tc>
        <w:tc>
          <w:tcPr>
            <w:tcW w:w="5141" w:type="dxa"/>
            <w:vAlign w:val="top"/>
          </w:tcPr>
          <w:p w14:paraId="1AB78405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字段都应真正必要；提供字段解释。</w:t>
            </w:r>
          </w:p>
        </w:tc>
      </w:tr>
      <w:tr w14:paraId="57CC2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0C6B2A1D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Error prevention/recovery</w:t>
            </w:r>
          </w:p>
        </w:tc>
        <w:tc>
          <w:tcPr>
            <w:tcW w:w="5141" w:type="dxa"/>
            <w:vAlign w:val="top"/>
          </w:tcPr>
          <w:p w14:paraId="28A507A5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限制不正确值；在页面顶部汇总错误；错误即时反馈优于延迟反馈。</w:t>
            </w:r>
          </w:p>
        </w:tc>
      </w:tr>
      <w:tr w14:paraId="07BA2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08BDE252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Grouping &amp; sequence</w:t>
            </w:r>
          </w:p>
        </w:tc>
        <w:tc>
          <w:tcPr>
            <w:tcW w:w="5141" w:type="dxa"/>
            <w:vAlign w:val="top"/>
          </w:tcPr>
          <w:p w14:paraId="53360EF7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相关字段相邻并对齐，组间留空；顺序符合常见模式。</w:t>
            </w:r>
          </w:p>
        </w:tc>
      </w:tr>
      <w:tr w14:paraId="4E2EA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1EC03500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Layout</w:t>
            </w:r>
          </w:p>
        </w:tc>
        <w:tc>
          <w:tcPr>
            <w:tcW w:w="5141" w:type="dxa"/>
            <w:vAlign w:val="top"/>
          </w:tcPr>
          <w:p w14:paraId="3127DEAA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对齐营造秩序与可理解性。</w:t>
            </w:r>
          </w:p>
        </w:tc>
      </w:tr>
      <w:tr w14:paraId="68FEA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6D19FDFD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Terminology</w:t>
            </w:r>
          </w:p>
        </w:tc>
        <w:tc>
          <w:tcPr>
            <w:tcW w:w="5141" w:type="dxa"/>
            <w:vAlign w:val="top"/>
          </w:tcPr>
          <w:p w14:paraId="6346E3CC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用熟悉标签，如 “Home address” 而不是 “domicile”；缩写一致。</w:t>
            </w:r>
          </w:p>
        </w:tc>
      </w:tr>
      <w:tr w14:paraId="57824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0B8E54EA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Field visibility</w:t>
            </w:r>
          </w:p>
        </w:tc>
        <w:tc>
          <w:tcPr>
            <w:tcW w:w="5141" w:type="dxa"/>
            <w:vAlign w:val="top"/>
          </w:tcPr>
          <w:p w14:paraId="35DC300E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给输入框明确空间与边界；必填字段清晰标记。</w:t>
            </w:r>
          </w:p>
        </w:tc>
      </w:tr>
      <w:tr w14:paraId="6317F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066AD058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Privacy</w:t>
            </w:r>
          </w:p>
        </w:tc>
        <w:tc>
          <w:tcPr>
            <w:tcW w:w="5141" w:type="dxa"/>
            <w:vAlign w:val="top"/>
          </w:tcPr>
          <w:p w14:paraId="73DAC924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说明数据如何使用、由谁使用，缓解用户分享个人信息的焦虑。</w:t>
            </w:r>
          </w:p>
        </w:tc>
      </w:tr>
      <w:tr w14:paraId="24BB9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1B6B3591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Completion</w:t>
            </w:r>
          </w:p>
        </w:tc>
        <w:tc>
          <w:tcPr>
            <w:tcW w:w="5141" w:type="dxa"/>
            <w:vAlign w:val="top"/>
          </w:tcPr>
          <w:p w14:paraId="65954BAA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提供明确提交与确认信号。</w:t>
            </w:r>
          </w:p>
        </w:tc>
      </w:tr>
    </w:tbl>
    <w:p w14:paraId="556C585F">
      <w:pPr>
        <w:spacing w:after="20"/>
      </w:pPr>
    </w:p>
    <w:p w14:paraId="0AD906FB">
      <w:pPr>
        <w:pStyle w:val="16"/>
        <w:spacing w:after="20"/>
      </w:pPr>
      <w:r>
        <w:rPr>
          <w:b/>
        </w:rPr>
        <w:t xml:space="preserve">Format-specific fields — </w:t>
      </w:r>
      <w:r>
        <w:t>用定制控件/直接操控简化特定格式输入：日历输入日期、座位图选座、电话、时间、金额、密码等；2FA 需要两种不同身份形式。</w:t>
      </w:r>
      <w:r>
        <w:rPr>
          <w:i/>
        </w:rPr>
        <w:t xml:space="preserve"> / Use widgets that match the data format.</w:t>
      </w:r>
    </w:p>
    <w:p w14:paraId="7FC1AD82">
      <w:pPr>
        <w:pStyle w:val="16"/>
        <w:spacing w:after="20"/>
      </w:pPr>
      <w:r>
        <w:rPr>
          <w:b/>
        </w:rPr>
        <w:t xml:space="preserve">Dialog boxes — </w:t>
      </w:r>
      <w:r>
        <w:t>任务被中断以请求选择、有限输入或查看警告/错误时，常用对话框。</w:t>
      </w:r>
      <w:r>
        <w:rPr>
          <w:i/>
        </w:rPr>
        <w:t xml:space="preserve"> / Dialogs support limited input, options, alerts, and errors.</w:t>
      </w:r>
    </w:p>
    <w:p w14:paraId="02D61784">
      <w:r>
        <w:br w:type="page"/>
      </w:r>
    </w:p>
    <w:p w14:paraId="1EDEEA7F">
      <w:pPr>
        <w:pStyle w:val="3"/>
      </w:pPr>
      <w:r>
        <w:t>Chapter 9 — Expressive Human and Command Languages</w:t>
      </w:r>
    </w:p>
    <w:p w14:paraId="3FD508FC">
      <w:pPr>
        <w:spacing w:after="40"/>
      </w:pPr>
      <w:r>
        <w:rPr>
          <w:i/>
          <w:color w:val="5A5A5A"/>
        </w:rPr>
        <w:t>语音识别、语音合成、命令语言</w:t>
      </w:r>
    </w:p>
    <w:p w14:paraId="70203E15">
      <w:pPr>
        <w:pStyle w:val="4"/>
      </w:pPr>
      <w:r>
        <w:t>9.1 Speech recognition / 语音识别</w:t>
      </w:r>
    </w:p>
    <w:p w14:paraId="1455D4A1">
      <w:pPr>
        <w:pStyle w:val="16"/>
        <w:spacing w:after="20"/>
      </w:pPr>
      <w:r>
        <w:rPr>
          <w:b/>
        </w:rPr>
        <w:t xml:space="preserve">Place for spoken interaction — </w:t>
      </w:r>
      <w:r>
        <w:t>当用户有身体障碍、双手忙（驾驶/做饭）、需移动（自拍）、眼睛被占用（航运等）、无法读写（儿童、高龄者、外语者）时，语音交互具有价值。</w:t>
      </w:r>
      <w:r>
        <w:rPr>
          <w:i/>
        </w:rPr>
        <w:t xml:space="preserve"> / Useful when hands/eyes are occupied, mobility or accessibility matters.</w:t>
      </w:r>
    </w:p>
    <w:p w14:paraId="4D880BA3">
      <w:pPr>
        <w:pStyle w:val="16"/>
        <w:spacing w:after="20"/>
      </w:pPr>
      <w:r>
        <w:rPr>
          <w:b/>
        </w:rPr>
        <w:t xml:space="preserve">Applications — </w:t>
      </w:r>
      <w:r>
        <w:t>语音翻译；IVR 电话服务（为公司节省成本并提供 24/7 服务）；听写/转写；UI spoken commands；speaker verification/voice biometrics。</w:t>
      </w:r>
      <w:r>
        <w:rPr>
          <w:i/>
        </w:rPr>
        <w:t xml:space="preserve"> / Translation, IVR, dictation, commands, voice biometrics.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1"/>
        <w:gridCol w:w="5141"/>
      </w:tblGrid>
      <w:tr w14:paraId="22B8A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shd w:val="clear" w:color="auto" w:fill="D9EAF7"/>
            <w:vAlign w:val="top"/>
          </w:tcPr>
          <w:p w14:paraId="58FB83B8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Spoken interaction design issue</w:t>
            </w:r>
          </w:p>
        </w:tc>
        <w:tc>
          <w:tcPr>
            <w:tcW w:w="5141" w:type="dxa"/>
            <w:shd w:val="clear" w:color="auto" w:fill="D9EAF7"/>
            <w:vAlign w:val="top"/>
          </w:tcPr>
          <w:p w14:paraId="4027D35B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中文答案</w:t>
            </w:r>
          </w:p>
        </w:tc>
      </w:tr>
      <w:tr w14:paraId="52C21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291F981D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Initiation</w:t>
            </w:r>
          </w:p>
        </w:tc>
        <w:tc>
          <w:tcPr>
            <w:tcW w:w="5141" w:type="dxa"/>
            <w:vAlign w:val="top"/>
          </w:tcPr>
          <w:p w14:paraId="655033DC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用户如何表明要开始语音交互；无显式唤起更自然，但要处理误触发。</w:t>
            </w:r>
          </w:p>
        </w:tc>
      </w:tr>
      <w:tr w14:paraId="24A00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4EDBB6BC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Knowing what to say</w:t>
            </w:r>
          </w:p>
        </w:tc>
        <w:tc>
          <w:tcPr>
            <w:tcW w:w="5141" w:type="dxa"/>
            <w:vAlign w:val="top"/>
          </w:tcPr>
          <w:p w14:paraId="6CC69646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用户必须知道哪些话可说且能被可靠识别。</w:t>
            </w:r>
          </w:p>
        </w:tc>
      </w:tr>
      <w:tr w14:paraId="4A0DD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2FB71788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Robust recognition</w:t>
            </w:r>
          </w:p>
        </w:tc>
        <w:tc>
          <w:tcPr>
            <w:tcW w:w="5141" w:type="dxa"/>
            <w:vAlign w:val="top"/>
          </w:tcPr>
          <w:p w14:paraId="5C8598E1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处理口音、噪声、新词、口误/错误术语，以及语义解释与上下文消歧。</w:t>
            </w:r>
          </w:p>
        </w:tc>
      </w:tr>
      <w:tr w14:paraId="11261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45621FBA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Abnormality handling</w:t>
            </w:r>
          </w:p>
        </w:tc>
        <w:tc>
          <w:tcPr>
            <w:tcW w:w="5141" w:type="dxa"/>
            <w:vAlign w:val="top"/>
          </w:tcPr>
          <w:p w14:paraId="251D4DA1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新手说出不支持命令时，切换到列出可能命令的更引导模式。</w:t>
            </w:r>
          </w:p>
        </w:tc>
      </w:tr>
      <w:tr w14:paraId="724E8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2A34FE97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Mapping to actions</w:t>
            </w:r>
          </w:p>
        </w:tc>
        <w:tc>
          <w:tcPr>
            <w:tcW w:w="5141" w:type="dxa"/>
            <w:vAlign w:val="top"/>
          </w:tcPr>
          <w:p w14:paraId="45113E76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成功系统常限制在狭窄领域，减少可行动作世界，并精心选择命令提高识别率。</w:t>
            </w:r>
          </w:p>
        </w:tc>
      </w:tr>
      <w:tr w14:paraId="47734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5D3D2CD9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Feedback/dialogues</w:t>
            </w:r>
          </w:p>
        </w:tc>
        <w:tc>
          <w:tcPr>
            <w:tcW w:w="5141" w:type="dxa"/>
            <w:vAlign w:val="top"/>
          </w:tcPr>
          <w:p w14:paraId="14B6B7D9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听写/转写时应在短延迟后显示识别文字；交互需要可核对与修正。</w:t>
            </w:r>
          </w:p>
        </w:tc>
      </w:tr>
    </w:tbl>
    <w:p w14:paraId="63C59B13">
      <w:pPr>
        <w:spacing w:after="20"/>
      </w:pPr>
    </w:p>
    <w:p w14:paraId="16B3E020">
      <w:pPr>
        <w:pStyle w:val="4"/>
      </w:pPr>
      <w:r>
        <w:t>9.2 Speech production / 语音生成</w:t>
      </w:r>
    </w:p>
    <w:p w14:paraId="26C76981">
      <w:pPr>
        <w:pStyle w:val="16"/>
        <w:spacing w:after="20"/>
      </w:pPr>
      <w:r>
        <w:rPr>
          <w:b/>
        </w:rPr>
        <w:t xml:space="preserve">Canned speech — </w:t>
      </w:r>
      <w:r>
        <w:t>把固定数字化语音片段拼接成较长语句；可组合数量有限，拼接处可能生硬。</w:t>
      </w:r>
      <w:r>
        <w:rPr>
          <w:i/>
        </w:rPr>
        <w:t xml:space="preserve"> / Fixed digitized segments assembled into sentences.</w:t>
      </w:r>
    </w:p>
    <w:p w14:paraId="2AB7C213">
      <w:pPr>
        <w:pStyle w:val="16"/>
        <w:spacing w:after="20"/>
      </w:pPr>
      <w:r>
        <w:rPr>
          <w:b/>
        </w:rPr>
        <w:t xml:space="preserve">Formant synthesis — </w:t>
      </w:r>
      <w:r>
        <w:t>基于语音学算法产生完全机器生成语音。</w:t>
      </w:r>
      <w:r>
        <w:rPr>
          <w:i/>
        </w:rPr>
        <w:t xml:space="preserve"> / Algorithmic speech generation based on phonetic models.</w:t>
      </w:r>
    </w:p>
    <w:p w14:paraId="1399225C">
      <w:pPr>
        <w:pStyle w:val="4"/>
      </w:pPr>
      <w:r>
        <w:t>9.3 Traditional command languages / 传统命令语言</w:t>
      </w:r>
    </w:p>
    <w:p w14:paraId="496EA484">
      <w:pPr>
        <w:pStyle w:val="16"/>
        <w:spacing w:after="20"/>
      </w:pPr>
      <w:r>
        <w:rPr>
          <w:b/>
        </w:rPr>
        <w:t xml:space="preserve">CLI — </w:t>
      </w:r>
      <w:r>
        <w:t>命令行/语言接口。高级使用场景中常被偏好，专业人员可每天长时间使用；URL 也可视作一种命令语言形式。</w:t>
      </w:r>
      <w:r>
        <w:rPr>
          <w:i/>
        </w:rPr>
        <w:t xml:space="preserve"> / Preferred by experts for efficient advanced operations.</w:t>
      </w:r>
    </w:p>
    <w:p w14:paraId="1E46495D">
      <w:pPr>
        <w:spacing w:after="40"/>
      </w:pPr>
      <w:r>
        <w:t>课程列举 Linux/Unix 常用命令（如 ls、cd、pwd、mkdir、cp、mv、rm、cat、grep、find、ps、kill、chmod、sudo、man、history、ssh、scp 等）。复习重点通常是：CLI 适合何种用户/任务、其控制感和表达复杂操作的能力，而非死记每条命令含义。</w:t>
      </w:r>
    </w:p>
    <w:p w14:paraId="1F2C8A01">
      <w:r>
        <w:br w:type="page"/>
      </w:r>
    </w:p>
    <w:p w14:paraId="0ECAB8ED">
      <w:pPr>
        <w:pStyle w:val="3"/>
      </w:pPr>
      <w:r>
        <w:t>Chapter 10 — Devices</w:t>
      </w:r>
    </w:p>
    <w:p w14:paraId="2D6A1753">
      <w:pPr>
        <w:spacing w:after="40"/>
      </w:pPr>
      <w:r>
        <w:rPr>
          <w:i/>
          <w:color w:val="5A5A5A"/>
        </w:rPr>
        <w:t>键盘、指向设备与显示设备</w:t>
      </w:r>
    </w:p>
    <w:p w14:paraId="228474C7">
      <w:pPr>
        <w:pStyle w:val="4"/>
        <w:rPr>
          <w:rFonts w:hint="eastAsia" w:eastAsia="宋体"/>
          <w:lang w:eastAsia="zh-CN"/>
        </w:rPr>
      </w:pPr>
      <w:r>
        <w:t>10.1 Keyboards / 键盘</w:t>
      </w:r>
    </w:p>
    <w:p w14:paraId="0D9B6C86">
      <w:pPr>
        <w:pStyle w:val="16"/>
        <w:spacing w:after="20"/>
      </w:pPr>
      <w:r>
        <w:rPr>
          <w:b/>
        </w:rPr>
        <w:t xml:space="preserve">QWERTY keyboard — </w:t>
      </w:r>
      <w:r>
        <w:t>课件列出 QWERTY 键盘作为基础键盘形式。</w:t>
      </w:r>
      <w:r>
        <w:rPr>
          <w:i/>
        </w:rPr>
        <w:t xml:space="preserve"> / Standard keyboard layout.</w:t>
      </w:r>
    </w:p>
    <w:p w14:paraId="5C87E047">
      <w:pPr>
        <w:pStyle w:val="16"/>
        <w:spacing w:after="20"/>
      </w:pPr>
      <w:r>
        <w:rPr>
          <w:b/>
        </w:rPr>
        <w:t xml:space="preserve">Special keyboards — </w:t>
      </w:r>
      <w:r>
        <w:t>课程以图片展示特殊键盘；可从通用设计原则理解为：硬件应适配特定人群、任务和输入要求。</w:t>
      </w:r>
      <w:r>
        <w:rPr>
          <w:i/>
        </w:rPr>
        <w:t xml:space="preserve"> / Specialized devices adapt to user/task needs.</w:t>
      </w:r>
    </w:p>
    <w:p w14:paraId="7A7EE00F">
      <w:pPr>
        <w:pStyle w:val="4"/>
      </w:pPr>
      <w:r>
        <w:t>10.2 Pointing devices / 指向设备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1"/>
        <w:gridCol w:w="5141"/>
      </w:tblGrid>
      <w:tr w14:paraId="5CE89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41" w:type="dxa"/>
            <w:shd w:val="clear" w:color="auto" w:fill="D9EAF7"/>
            <w:vAlign w:val="top"/>
          </w:tcPr>
          <w:p w14:paraId="653DC491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Interaction task</w:t>
            </w:r>
          </w:p>
        </w:tc>
        <w:tc>
          <w:tcPr>
            <w:tcW w:w="5141" w:type="dxa"/>
            <w:shd w:val="clear" w:color="auto" w:fill="D9EAF7"/>
            <w:vAlign w:val="top"/>
          </w:tcPr>
          <w:p w14:paraId="0D8EF488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Definition</w:t>
            </w:r>
          </w:p>
        </w:tc>
      </w:tr>
      <w:tr w14:paraId="5655B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70719335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Select</w:t>
            </w:r>
          </w:p>
        </w:tc>
        <w:tc>
          <w:tcPr>
            <w:tcW w:w="5141" w:type="dxa"/>
            <w:vAlign w:val="top"/>
          </w:tcPr>
          <w:p w14:paraId="485EB3F2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从一组项目中选择。 / Choose from a set of items.</w:t>
            </w:r>
          </w:p>
        </w:tc>
      </w:tr>
      <w:tr w14:paraId="0F827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0BBBCFE4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Position</w:t>
            </w:r>
          </w:p>
        </w:tc>
        <w:tc>
          <w:tcPr>
            <w:tcW w:w="5141" w:type="dxa"/>
            <w:vAlign w:val="top"/>
          </w:tcPr>
          <w:p w14:paraId="3CDE1B08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在一维、二维或更高维空间选择一个点。 / Choose a point in space.</w:t>
            </w:r>
          </w:p>
        </w:tc>
      </w:tr>
      <w:tr w14:paraId="17735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3B8409E6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Orient</w:t>
            </w:r>
          </w:p>
        </w:tc>
        <w:tc>
          <w:tcPr>
            <w:tcW w:w="5141" w:type="dxa"/>
            <w:vAlign w:val="top"/>
          </w:tcPr>
          <w:p w14:paraId="4B57F812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选择方向，用于旋转符号、表示运动方向或控制装置。 / Choose a direction.</w:t>
            </w:r>
          </w:p>
        </w:tc>
      </w:tr>
      <w:tr w14:paraId="303A0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2D3A82F9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Path</w:t>
            </w:r>
          </w:p>
        </w:tc>
        <w:tc>
          <w:tcPr>
            <w:tcW w:w="5141" w:type="dxa"/>
            <w:vAlign w:val="top"/>
          </w:tcPr>
          <w:p w14:paraId="1055F32A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定义一系列位置与方向操作。 / Define a series of positions/orientations.</w:t>
            </w:r>
          </w:p>
        </w:tc>
      </w:tr>
      <w:tr w14:paraId="5A420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53CE4A11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Quantify</w:t>
            </w:r>
          </w:p>
        </w:tc>
        <w:tc>
          <w:tcPr>
            <w:tcW w:w="5141" w:type="dxa"/>
            <w:vAlign w:val="top"/>
          </w:tcPr>
          <w:p w14:paraId="34D2DCF2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指定数值。 / Specify a numeric value.</w:t>
            </w:r>
          </w:p>
        </w:tc>
      </w:tr>
      <w:tr w14:paraId="03439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76D8D053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Gesture</w:t>
            </w:r>
          </w:p>
        </w:tc>
        <w:tc>
          <w:tcPr>
            <w:tcW w:w="5141" w:type="dxa"/>
            <w:vAlign w:val="top"/>
          </w:tcPr>
          <w:p w14:paraId="0E1F746F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执行预定义动作，如悬停唤出菜单、左右滑动翻页、捏合/张开缩放。 / Perform predefined motion.</w:t>
            </w:r>
          </w:p>
        </w:tc>
      </w:tr>
      <w:tr w14:paraId="054AA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5A3F01C3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Text</w:t>
            </w:r>
          </w:p>
        </w:tc>
        <w:tc>
          <w:tcPr>
            <w:tcW w:w="5141" w:type="dxa"/>
            <w:vAlign w:val="top"/>
          </w:tcPr>
          <w:p w14:paraId="70A99CF3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在二维空间输入、移动、编辑文本；设备标示插入/删除/替换位置。 / Enter and edit text.</w:t>
            </w:r>
          </w:p>
        </w:tc>
      </w:tr>
    </w:tbl>
    <w:p w14:paraId="22026662">
      <w:pPr>
        <w:spacing w:after="20"/>
      </w:pPr>
    </w:p>
    <w:p w14:paraId="4A3D2EE4">
      <w:pPr>
        <w:pStyle w:val="16"/>
        <w:spacing w:after="20"/>
      </w:pPr>
      <w:r>
        <w:rPr>
          <w:b/>
        </w:rPr>
        <w:t xml:space="preserve">Types — </w:t>
      </w:r>
      <w:r>
        <w:t>课件展示 direct control devices（如 stylus）、indirect control devices（如 mouse、joysticks）以及 novel control devices（如 hand tracker）。</w:t>
      </w:r>
      <w:r>
        <w:rPr>
          <w:i/>
        </w:rPr>
        <w:t xml:space="preserve"> / Direct, indirect, and novel control devices.</w:t>
      </w:r>
    </w:p>
    <w:p w14:paraId="1BF24E01">
      <w:pPr>
        <w:pStyle w:val="4"/>
      </w:pPr>
      <w:r>
        <w:t>10.3 Displays / 显示设备</w:t>
      </w:r>
    </w:p>
    <w:p w14:paraId="7E838456">
      <w:pPr>
        <w:pStyle w:val="16"/>
        <w:spacing w:after="20"/>
      </w:pPr>
      <w:r>
        <w:rPr>
          <w:b/>
        </w:rPr>
        <w:t xml:space="preserve">Display role — </w:t>
      </w:r>
      <w:r>
        <w:t>显示器是 UI 向用户提供视觉反馈的主要来源。</w:t>
      </w:r>
      <w:r>
        <w:rPr>
          <w:i/>
        </w:rPr>
        <w:t xml:space="preserve"> / Primary source of visual feedback.</w:t>
      </w:r>
    </w:p>
    <w:p w14:paraId="7F736D0A">
      <w:pPr>
        <w:pStyle w:val="16"/>
        <w:spacing w:after="20"/>
      </w:pPr>
      <w:r>
        <w:rPr>
          <w:b/>
        </w:rPr>
        <w:t xml:space="preserve">Characteristics — </w:t>
      </w:r>
      <w:r>
        <w:t>物理尺寸（通常对角线）、分辨率、可用颜色数量/准确性、亮度/对比度/眩光、功耗、刷新率、成本、可靠性。</w:t>
      </w:r>
      <w:r>
        <w:rPr>
          <w:i/>
        </w:rPr>
        <w:t xml:space="preserve"> / Dimensions, resolution, color, luminance/contrast/glare, power, refresh, cost, reliability.</w:t>
      </w:r>
    </w:p>
    <w:p w14:paraId="5ADE7A62">
      <w:pPr>
        <w:pStyle w:val="16"/>
        <w:spacing w:after="20"/>
      </w:pPr>
      <w:r>
        <w:rPr>
          <w:b/>
        </w:rPr>
        <w:t xml:space="preserve">Technologies — </w:t>
      </w:r>
      <w:r>
        <w:t>CRT、LCD、LED、OLED。</w:t>
      </w:r>
      <w:r>
        <w:rPr>
          <w:i/>
        </w:rPr>
        <w:t xml:space="preserve"> / Core display technologies in slides.</w:t>
      </w:r>
    </w:p>
    <w:p w14:paraId="1AFC6D97">
      <w:pPr>
        <w:pStyle w:val="16"/>
        <w:spacing w:after="20"/>
      </w:pPr>
      <w:r>
        <w:rPr>
          <w:b/>
        </w:rPr>
        <w:t xml:space="preserve">Large wall / tabletop / deformable displays — </w:t>
      </w:r>
      <w:r>
        <w:t>课件展示大墙面显示、水平桌面显示与可变形（shape-changing）显示，提示 UI 需随显示形态改变交互与协作设计。</w:t>
      </w:r>
      <w:r>
        <w:rPr>
          <w:i/>
        </w:rPr>
        <w:t xml:space="preserve"> / Display form factor changes interaction possibilities.</w:t>
      </w:r>
    </w:p>
    <w:p w14:paraId="2519879C">
      <w:r>
        <w:br w:type="page"/>
      </w:r>
    </w:p>
    <w:p w14:paraId="5507BBE6">
      <w:pPr>
        <w:pStyle w:val="3"/>
      </w:pPr>
      <w:r>
        <w:t>Chapter 11 — Communication and Collaboration</w:t>
      </w:r>
    </w:p>
    <w:p w14:paraId="3CBCE828">
      <w:pPr>
        <w:spacing w:after="40"/>
      </w:pPr>
      <w:r>
        <w:rPr>
          <w:i/>
          <w:color w:val="5A5A5A"/>
        </w:rPr>
        <w:t>在线沟通、协作模型与设计考虑</w:t>
      </w:r>
    </w:p>
    <w:p w14:paraId="325F19FD">
      <w:pPr>
        <w:pStyle w:val="4"/>
      </w:pPr>
      <w:r>
        <w:t>11.1 Social nature and risks / 社会属性与风险</w:t>
      </w:r>
    </w:p>
    <w:p w14:paraId="629149D8">
      <w:pPr>
        <w:pStyle w:val="16"/>
        <w:spacing w:after="20"/>
      </w:pPr>
      <w:r>
        <w:rPr>
          <w:b/>
        </w:rPr>
        <w:t xml:space="preserve">Networked communication — </w:t>
      </w:r>
      <w:r>
        <w:t>与家人、朋友、同事、协作者乃至宠物的即时沟通已常态化；社交网络只是众多在线沟通形态之一。</w:t>
      </w:r>
      <w:r>
        <w:rPr>
          <w:i/>
        </w:rPr>
        <w:t xml:space="preserve"> / Social networks are one modality among many.</w:t>
      </w:r>
    </w:p>
    <w:p w14:paraId="43FF8F21">
      <w:pPr>
        <w:pStyle w:val="16"/>
        <w:spacing w:after="20"/>
      </w:pPr>
      <w:r>
        <w:rPr>
          <w:b/>
        </w:rPr>
        <w:t xml:space="preserve">Modalities — </w:t>
      </w:r>
      <w:r>
        <w:t>文字消息、语音、视频、邮件、在线会议、在线教学等，各自适合不同任务与人类需求。</w:t>
      </w:r>
      <w:r>
        <w:rPr>
          <w:i/>
        </w:rPr>
        <w:t xml:space="preserve"> / Match channel/tool to task and need.</w:t>
      </w:r>
    </w:p>
    <w:p w14:paraId="60588CAD">
      <w:pPr>
        <w:pStyle w:val="16"/>
        <w:spacing w:after="20"/>
      </w:pPr>
      <w:r>
        <w:rPr>
          <w:b/>
        </w:rPr>
        <w:t xml:space="preserve">Negative aspects — </w:t>
      </w:r>
      <w:r>
        <w:t>犯罪者、恐怖招募者、压迫性政治力量可能利用社交平台；欺凌、欺骗、仇恨宣传、声誉伤害、跟踪、公开羞辱、群体极化均需被界面、社区领导与治理策略缓解。</w:t>
      </w:r>
      <w:r>
        <w:rPr>
          <w:i/>
        </w:rPr>
        <w:t xml:space="preserve"> / UIDers must mitigate foreseeable negative social outcomes.</w:t>
      </w:r>
    </w:p>
    <w:p w14:paraId="66047D23">
      <w:pPr>
        <w:pStyle w:val="4"/>
      </w:pPr>
      <w:r>
        <w:t>11.2 Collaboration models / 协作模型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1"/>
        <w:gridCol w:w="5141"/>
      </w:tblGrid>
      <w:tr w14:paraId="0EE5A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shd w:val="clear" w:color="auto" w:fill="D9EAF7"/>
            <w:vAlign w:val="top"/>
          </w:tcPr>
          <w:p w14:paraId="18DFA61B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Time/Space matrix</w:t>
            </w:r>
          </w:p>
        </w:tc>
        <w:tc>
          <w:tcPr>
            <w:tcW w:w="5141" w:type="dxa"/>
            <w:shd w:val="clear" w:color="auto" w:fill="D9EAF7"/>
            <w:vAlign w:val="top"/>
          </w:tcPr>
          <w:p w14:paraId="7ECA2897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Examples</w:t>
            </w:r>
          </w:p>
        </w:tc>
      </w:tr>
      <w:tr w14:paraId="6C9FC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6D415B07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Same time + same place 同步同地</w:t>
            </w:r>
          </w:p>
        </w:tc>
        <w:tc>
          <w:tcPr>
            <w:tcW w:w="5141" w:type="dxa"/>
            <w:vAlign w:val="top"/>
          </w:tcPr>
          <w:p w14:paraId="28C47F25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共享桌面显示、墙面显示。</w:t>
            </w:r>
          </w:p>
        </w:tc>
      </w:tr>
      <w:tr w14:paraId="768F9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2A32C162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Same time + different place 同步异地</w:t>
            </w:r>
          </w:p>
        </w:tc>
        <w:tc>
          <w:tcPr>
            <w:tcW w:w="5141" w:type="dxa"/>
            <w:vAlign w:val="top"/>
          </w:tcPr>
          <w:p w14:paraId="24BB9B04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远程会议。</w:t>
            </w:r>
          </w:p>
        </w:tc>
      </w:tr>
      <w:tr w14:paraId="508D8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7C72524F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Different time + same place 异步同地</w:t>
            </w:r>
          </w:p>
        </w:tc>
        <w:tc>
          <w:tcPr>
            <w:tcW w:w="5141" w:type="dxa"/>
            <w:vAlign w:val="top"/>
          </w:tcPr>
          <w:p w14:paraId="0064A605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公共显示。</w:t>
            </w:r>
          </w:p>
        </w:tc>
      </w:tr>
      <w:tr w14:paraId="78368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40C9CEC0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Different time + different place 异步异地</w:t>
            </w:r>
          </w:p>
        </w:tc>
        <w:tc>
          <w:tcPr>
            <w:tcW w:w="5141" w:type="dxa"/>
            <w:vAlign w:val="top"/>
          </w:tcPr>
          <w:p w14:paraId="1BF9D7D1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邮件、讨论论坛、版本控制。</w:t>
            </w:r>
          </w:p>
        </w:tc>
      </w:tr>
    </w:tbl>
    <w:p w14:paraId="0BD311B6">
      <w:pPr>
        <w:spacing w:after="20"/>
      </w:pPr>
    </w:p>
    <w:p w14:paraId="1D4C5AAC">
      <w:pPr>
        <w:pStyle w:val="16"/>
        <w:spacing w:after="20"/>
      </w:pPr>
      <w:r>
        <w:rPr>
          <w:b/>
        </w:rPr>
        <w:t xml:space="preserve">Additional dimensions — </w:t>
      </w:r>
      <w:r>
        <w:t>同步性、物理分布、协作规模、实践共同体数量、nascence（协作存在时间）、planned permanence（预定持续性）、turnover（成员进出稳定性）。</w:t>
      </w:r>
      <w:r>
        <w:rPr>
          <w:i/>
        </w:rPr>
        <w:t xml:space="preserve"> / Universal collaborative UIs accommodate these spectra.</w:t>
      </w:r>
    </w:p>
    <w:p w14:paraId="113009A4">
      <w:pPr>
        <w:pStyle w:val="4"/>
      </w:pPr>
      <w:r>
        <w:t>11.3 Goals/contexts and UID considerations</w:t>
      </w:r>
    </w:p>
    <w:p w14:paraId="24F85A81">
      <w:pPr>
        <w:pStyle w:val="16"/>
        <w:spacing w:after="20"/>
      </w:pPr>
      <w:r>
        <w:rPr>
          <w:b/>
        </w:rPr>
        <w:t xml:space="preserve">Why collaborate — </w:t>
      </w:r>
      <w:r>
        <w:t>协作既可满足社交情感，也可完成个人无法独立完成的更大目标，或与否则无法接触的人交易/会面。</w:t>
      </w:r>
      <w:r>
        <w:rPr>
          <w:i/>
        </w:rPr>
        <w:t xml:space="preserve"> / Collaboration is satisfying and/or productive.</w:t>
      </w:r>
    </w:p>
    <w:p w14:paraId="6978446D">
      <w:pPr>
        <w:pStyle w:val="16"/>
        <w:spacing w:after="20"/>
      </w:pPr>
      <w:r>
        <w:rPr>
          <w:b/>
        </w:rPr>
        <w:t xml:space="preserve">Contexts — </w:t>
      </w:r>
      <w:r>
        <w:t>沟通与对话、会议协调、在线市场、创造性生产与 crowdwork 等。大项目需要拆分/整合工作、管理依赖、保证质量、协调角色技能和行政任务。</w:t>
      </w:r>
      <w:r>
        <w:rPr>
          <w:i/>
        </w:rPr>
        <w:t xml:space="preserve"> / Different collaborative goals imply different UI support.</w:t>
      </w:r>
    </w:p>
    <w:p w14:paraId="4B33FC0E">
      <w:pPr>
        <w:pStyle w:val="16"/>
        <w:spacing w:after="20"/>
      </w:pPr>
      <w:r>
        <w:rPr>
          <w:b/>
        </w:rPr>
        <w:t xml:space="preserve">Common ground — </w:t>
      </w:r>
      <w:r>
        <w:t>建立共同知识与共同理解的参照物，是高效沟通的基础；社会线索等非语言信息可增强交流。</w:t>
      </w:r>
      <w:r>
        <w:rPr>
          <w:i/>
        </w:rPr>
        <w:t xml:space="preserve"> / Shared knowledge and references enable coordination.</w:t>
      </w:r>
    </w:p>
    <w:p w14:paraId="16E29932">
      <w:pPr>
        <w:pStyle w:val="16"/>
        <w:spacing w:after="20"/>
      </w:pPr>
      <w:r>
        <w:rPr>
          <w:b/>
        </w:rPr>
        <w:t xml:space="preserve">Privacy — </w:t>
      </w:r>
      <w:r>
        <w:t>隐式记录活动可能抑制使用；但某些场景下活动可见性又有价值，设计要明确权衡。</w:t>
      </w:r>
      <w:r>
        <w:rPr>
          <w:i/>
        </w:rPr>
        <w:t xml:space="preserve"> / Balance awareness against privacy.</w:t>
      </w:r>
    </w:p>
    <w:p w14:paraId="36A1F77D">
      <w:pPr>
        <w:pStyle w:val="16"/>
        <w:spacing w:after="20"/>
      </w:pPr>
      <w:r>
        <w:rPr>
          <w:b/>
        </w:rPr>
        <w:t xml:space="preserve">Identity, trust and reputation — </w:t>
      </w:r>
      <w:r>
        <w:t>身份关联信誉；系统需支持建立可信赖感。</w:t>
      </w:r>
      <w:r>
        <w:rPr>
          <w:i/>
        </w:rPr>
        <w:t xml:space="preserve"> / Reputation supports trust.</w:t>
      </w:r>
    </w:p>
    <w:p w14:paraId="48748FD9">
      <w:pPr>
        <w:pStyle w:val="16"/>
        <w:spacing w:after="20"/>
      </w:pPr>
      <w:r>
        <w:rPr>
          <w:b/>
        </w:rPr>
        <w:t xml:space="preserve">Motivation — </w:t>
      </w:r>
      <w:r>
        <w:t>人际连接具有强内在动机，此外存在众多外在动机。</w:t>
      </w:r>
      <w:r>
        <w:rPr>
          <w:i/>
        </w:rPr>
        <w:t xml:space="preserve"> / Support intrinsic and extrinsic motivations.</w:t>
      </w:r>
    </w:p>
    <w:p w14:paraId="2C1F979B">
      <w:pPr>
        <w:pStyle w:val="16"/>
        <w:spacing w:after="20"/>
      </w:pPr>
      <w:r>
        <w:rPr>
          <w:b/>
        </w:rPr>
        <w:t xml:space="preserve">Deviance — </w:t>
      </w:r>
      <w:r>
        <w:t>用户未必了解社区规范；UIDer 应考虑调节偏离行为、让规范更显著，降低不规范行为。</w:t>
      </w:r>
      <w:r>
        <w:rPr>
          <w:i/>
        </w:rPr>
        <w:t xml:space="preserve"> / Make norms salient and manage deviance.</w:t>
      </w:r>
    </w:p>
    <w:p w14:paraId="1290A15C">
      <w:r>
        <w:br w:type="page"/>
      </w:r>
    </w:p>
    <w:p w14:paraId="73BD5D87">
      <w:pPr>
        <w:pStyle w:val="3"/>
      </w:pPr>
      <w:r>
        <w:t>Chapter 12 — Advancing the User Experience</w:t>
      </w:r>
    </w:p>
    <w:p w14:paraId="2877C0D9">
      <w:pPr>
        <w:spacing w:after="40"/>
      </w:pPr>
      <w:r>
        <w:rPr>
          <w:i/>
          <w:color w:val="5A5A5A"/>
        </w:rPr>
        <w:t>显示、窗口、动画、网页、颜色、错误信息与响应时间</w:t>
      </w:r>
    </w:p>
    <w:p w14:paraId="07B2B26B">
      <w:pPr>
        <w:pStyle w:val="4"/>
      </w:pPr>
      <w:r>
        <w:t>12.1 UX stance / 用户体验立场</w:t>
      </w:r>
    </w:p>
    <w:p w14:paraId="6B90127C">
      <w:pPr>
        <w:pStyle w:val="16"/>
        <w:spacing w:after="20"/>
      </w:pPr>
      <w:r>
        <w:rPr>
          <w:b/>
        </w:rPr>
        <w:t xml:space="preserve">From function-only to UX — </w:t>
      </w:r>
      <w:r>
        <w:t>早期产品强调功能；现代设计需平衡功能与时尚/体验。</w:t>
      </w:r>
      <w:r>
        <w:rPr>
          <w:i/>
        </w:rPr>
        <w:t xml:space="preserve"> / Modern products balance function and experience.</w:t>
      </w:r>
    </w:p>
    <w:p w14:paraId="035837E2">
      <w:pPr>
        <w:pStyle w:val="4"/>
      </w:pPr>
      <w:r>
        <w:t>12.2 Display design / 显示设计</w:t>
      </w:r>
    </w:p>
    <w:p w14:paraId="76B05AD9">
      <w:pPr>
        <w:pStyle w:val="16"/>
        <w:spacing w:after="20"/>
      </w:pPr>
      <w:r>
        <w:rPr>
          <w:b/>
        </w:rPr>
        <w:t xml:space="preserve">Task-first display — </w:t>
      </w:r>
      <w:r>
        <w:t>先充分理解用户任务；显示应以恰当顺序提供完成任务所需数据，使用符合用户知识的标签、意义明确的分组、一致分组顺序和有序格式。</w:t>
      </w:r>
      <w:r>
        <w:rPr>
          <w:i/>
        </w:rPr>
        <w:t xml:space="preserve"> / Display necessary data in task-relevant sequence and structure.</w:t>
      </w:r>
    </w:p>
    <w:p w14:paraId="23965751">
      <w:pPr>
        <w:pStyle w:val="16"/>
        <w:spacing w:after="20"/>
      </w:pPr>
      <w:r>
        <w:rPr>
          <w:b/>
        </w:rPr>
        <w:t xml:space="preserve">Representative principles — </w:t>
      </w:r>
      <w:r>
        <w:t>Elegance and simplicity；Unity, refinement, fitness；Scale, contrast, proportion；Clarity, harmony；Organization/visual structure；Grouping/hierarchy/relationship/balance；Module/program；Focus/flexibility/consistent application；Image/representation；Immediacy。</w:t>
      </w:r>
      <w:r>
        <w:rPr>
          <w:i/>
        </w:rPr>
        <w:t xml:space="preserve"> / Graphic-design principles adapted to screen display.</w:t>
      </w:r>
    </w:p>
    <w:p w14:paraId="2F755B4B">
      <w:pPr>
        <w:pStyle w:val="16"/>
        <w:spacing w:after="20"/>
      </w:pPr>
      <w:r>
        <w:rPr>
          <w:b/>
        </w:rPr>
        <w:t xml:space="preserve">Field layout — </w:t>
      </w:r>
      <w:r>
        <w:t>按时间顺序列出信息、使用熟悉分隔符、姓名顺序一致、使用标签、粗体和大小写混排、逻辑分组。专业专家用户可偏好高密度、多显示、强编码字段。</w:t>
      </w:r>
      <w:r>
        <w:rPr>
          <w:i/>
        </w:rPr>
        <w:t xml:space="preserve"> / Field arrangement improves scanning and reduces errors.</w:t>
      </w:r>
    </w:p>
    <w:p w14:paraId="1B52FCE4">
      <w:pPr>
        <w:pStyle w:val="4"/>
      </w:pPr>
      <w:r>
        <w:t>12.3 Window/view management / 窗口与视图管理</w:t>
      </w:r>
    </w:p>
    <w:p w14:paraId="7F81CB42">
      <w:pPr>
        <w:pStyle w:val="16"/>
        <w:spacing w:after="20"/>
      </w:pPr>
      <w:r>
        <w:rPr>
          <w:b/>
        </w:rPr>
        <w:t xml:space="preserve">Multiple views — </w:t>
      </w:r>
      <w:r>
        <w:t>窗口操作常采用直接操控；可协调多个窗口，使其出现、变更、调整大小或关闭与用户动作直接关联。</w:t>
      </w:r>
      <w:r>
        <w:rPr>
          <w:i/>
        </w:rPr>
        <w:t xml:space="preserve"> / Coordinate multiple views/windows.</w:t>
      </w:r>
    </w:p>
    <w:p w14:paraId="64557BF4">
      <w:pPr>
        <w:pStyle w:val="16"/>
        <w:spacing w:after="20"/>
      </w:pPr>
      <w:r>
        <w:rPr>
          <w:b/>
        </w:rPr>
        <w:t xml:space="preserve">Techniques — </w:t>
      </w:r>
      <w:r>
        <w:t>同步滚动（比较文档/程序版本）、层级浏览、平铺或重叠窗口、依赖窗口的开关、保存窗口状态、标签页浏览。</w:t>
      </w:r>
      <w:r>
        <w:rPr>
          <w:i/>
        </w:rPr>
        <w:t xml:space="preserve"> / Synchronized scrolling, hierarchical browsing, tiling/overlap, dependent windows, state saving, tabs.</w:t>
      </w:r>
    </w:p>
    <w:p w14:paraId="71B34BD7">
      <w:pPr>
        <w:pStyle w:val="16"/>
        <w:spacing w:after="20"/>
      </w:pPr>
      <w:r>
        <w:rPr>
          <w:b/>
        </w:rPr>
        <w:t xml:space="preserve">Large views — </w:t>
      </w:r>
      <w:r>
        <w:t>地图、电路图、艺术作品等大视图可使用 overview/context + detail/focus、zoom、fisheye views。</w:t>
      </w:r>
      <w:r>
        <w:rPr>
          <w:i/>
        </w:rPr>
        <w:t xml:space="preserve"> / Combine context and focus for large information spaces.</w:t>
      </w:r>
    </w:p>
    <w:p w14:paraId="01F365AA">
      <w:pPr>
        <w:pStyle w:val="4"/>
      </w:pPr>
      <w:r>
        <w:t>12.4 Animation, webpage, colour / 动画、网页与颜色</w:t>
      </w:r>
    </w:p>
    <w:p w14:paraId="58ED7366">
      <w:pPr>
        <w:pStyle w:val="16"/>
        <w:spacing w:after="20"/>
      </w:pPr>
      <w:r>
        <w:rPr>
          <w:b/>
        </w:rPr>
        <w:t xml:space="preserve">Animation — </w:t>
      </w:r>
      <w:r>
        <w:t>运动感知是人类基本知觉，眼睛会被运动吸引；平滑动画应帮助用户在交互中保持方位感。</w:t>
      </w:r>
      <w:r>
        <w:rPr>
          <w:i/>
        </w:rPr>
        <w:t xml:space="preserve"> / Smooth animation should preserve orientation.</w:t>
      </w:r>
    </w:p>
    <w:p w14:paraId="427B2BE9">
      <w:pPr>
        <w:pStyle w:val="16"/>
        <w:spacing w:after="20"/>
      </w:pPr>
      <w:r>
        <w:rPr>
          <w:b/>
        </w:rPr>
        <w:t xml:space="preserve">Webpage design — </w:t>
      </w:r>
      <w:r>
        <w:t>课件有“avoiding top mistakes”和“guidelines”标题，但抽取文本未列出具体条目；应以原页图示复习，不能在此补造。</w:t>
      </w:r>
      <w:r>
        <w:rPr>
          <w:i/>
        </w:rPr>
        <w:t xml:space="preserve"> / Review visual slide content directly for exact items.</w:t>
      </w:r>
    </w:p>
    <w:p w14:paraId="1834A98A">
      <w:pPr>
        <w:pStyle w:val="16"/>
        <w:spacing w:after="20"/>
      </w:pPr>
      <w:r>
        <w:rPr>
          <w:b/>
        </w:rPr>
        <w:t xml:space="preserve">Colour uses — </w:t>
      </w:r>
      <w:r>
        <w:t>安抚/刺激视觉、增加强调、辅助复杂显示中的细微区分、突出信息组织、提示警告、唤起情绪。</w:t>
      </w:r>
      <w:r>
        <w:rPr>
          <w:i/>
        </w:rPr>
        <w:t xml:space="preserve"> / Color can organize, discriminate, warn, and evoke emotion.</w:t>
      </w:r>
    </w:p>
    <w:p w14:paraId="6EDAB375">
      <w:pPr>
        <w:pStyle w:val="16"/>
        <w:spacing w:after="20"/>
      </w:pPr>
      <w:r>
        <w:rPr>
          <w:b/>
        </w:rPr>
        <w:t xml:space="preserve">Colour guidelines — </w:t>
      </w:r>
      <w:r>
        <w:t>无简单万能规则；保守使用；单屏通常不超过四种颜色、整套显示通常不超过七种；颜色编码应支持任务、以最小用户努力呈现、在合适时可由用户关闭；先为单色设计；考虑色觉/视觉差异；颜色代码要一致并符合文化期待；用颜色变化表示状态变化。</w:t>
      </w:r>
      <w:r>
        <w:rPr>
          <w:i/>
        </w:rPr>
        <w:t xml:space="preserve"> / Use color meaningfully, sparingly, accessibly, and consistently.</w:t>
      </w:r>
    </w:p>
    <w:p w14:paraId="0FA8C52B">
      <w:pPr>
        <w:pStyle w:val="4"/>
      </w:pPr>
      <w:r>
        <w:t>12.5 Error messages / 错误信息</w:t>
      </w:r>
    </w:p>
    <w:p w14:paraId="27962D2C">
      <w:pPr>
        <w:pStyle w:val="16"/>
        <w:spacing w:after="20"/>
      </w:pPr>
      <w:r>
        <w:rPr>
          <w:b/>
        </w:rPr>
        <w:t xml:space="preserve">Specificity — </w:t>
      </w:r>
      <w:r>
        <w:t>过于泛泛的错误信息会让新手无法判断问题；需要恰当程度的具体性。</w:t>
      </w:r>
      <w:r>
        <w:rPr>
          <w:i/>
        </w:rPr>
        <w:t xml:space="preserve"> / Provide the right degree of specificity.</w:t>
      </w:r>
    </w:p>
    <w:p w14:paraId="6DF11E06">
      <w:pPr>
        <w:pStyle w:val="16"/>
        <w:spacing w:after="20"/>
      </w:pPr>
      <w:r>
        <w:rPr>
          <w:b/>
        </w:rPr>
        <w:t xml:space="preserve">Constructive guidance — </w:t>
      </w:r>
      <w:r>
        <w:t>不要只谴责用户；要告诉用户如何修正问题。</w:t>
      </w:r>
      <w:r>
        <w:rPr>
          <w:i/>
        </w:rPr>
        <w:t xml:space="preserve"> / Explain what to do next, not just what went wrong.</w:t>
      </w:r>
    </w:p>
    <w:p w14:paraId="0836EA7D">
      <w:pPr>
        <w:pStyle w:val="4"/>
      </w:pPr>
      <w:r>
        <w:t>12.6 Timely UX / 及时用户体验与响应时间</w:t>
      </w:r>
    </w:p>
    <w:p w14:paraId="4DEDAAAF">
      <w:pPr>
        <w:pStyle w:val="16"/>
        <w:spacing w:after="20"/>
      </w:pPr>
      <w:r>
        <w:rPr>
          <w:b/>
        </w:rPr>
        <w:t xml:space="preserve">SRT — </w:t>
      </w:r>
      <w:r>
        <w:t>System Response Time 是用户体验的重要组成。人通常无法感知小于 25ms 的事件时差；约接近 100ms 才更难忽略短时差异；反应时间通常在亚秒级；PC 换屏约 1 秒常不太令人烦扰。</w:t>
      </w:r>
      <w:r>
        <w:rPr>
          <w:i/>
        </w:rPr>
        <w:t xml:space="preserve"> / SRT strongly shapes perceived UX.</w:t>
      </w:r>
    </w:p>
    <w:p w14:paraId="1D342219">
      <w:pPr>
        <w:pStyle w:val="16"/>
        <w:spacing w:after="20"/>
      </w:pPr>
      <w:r>
        <w:rPr>
          <w:b/>
        </w:rPr>
        <w:t xml:space="preserve">Empirical model — </w:t>
      </w:r>
      <w:r>
        <w:t>用户偏好快交互，但计算等任务可接受更高延迟；&gt;5 秒通常损害效率、增加错误并降低满意度；&lt;1 秒通常更受偏好、提高效率，但复杂任务中也可能增加错误。</w:t>
      </w:r>
      <w:r>
        <w:rPr>
          <w:i/>
        </w:rPr>
        <w:t xml:space="preserve"> / Latency effects depend on task complexity and expectations.</w:t>
      </w:r>
    </w:p>
    <w:p w14:paraId="22D7E96D">
      <w:pPr>
        <w:pStyle w:val="16"/>
        <w:spacing w:after="20"/>
      </w:pPr>
      <w:r>
        <w:rPr>
          <w:b/>
        </w:rPr>
        <w:t xml:space="preserve">Expectation factors — </w:t>
      </w:r>
      <w:r>
        <w:t>可接受等待时间受既往经验、人格/成本/年龄/情绪/文化/时段/噪声/压力、任务复杂度和熟悉度影响。</w:t>
      </w:r>
      <w:r>
        <w:rPr>
          <w:i/>
        </w:rPr>
        <w:t xml:space="preserve"> / Past experience, personal tolerance, and task characteristics shape acceptance.</w:t>
      </w:r>
    </w:p>
    <w:p w14:paraId="12CF9558">
      <w:r>
        <w:br w:type="page"/>
      </w:r>
    </w:p>
    <w:p w14:paraId="1495F8E3">
      <w:pPr>
        <w:pStyle w:val="3"/>
      </w:pPr>
      <w:r>
        <w:t>Chapter 14 — Documentation and User Support</w:t>
      </w:r>
    </w:p>
    <w:p w14:paraId="5BB911D1">
      <w:pPr>
        <w:spacing w:after="40"/>
      </w:pPr>
      <w:r>
        <w:rPr>
          <w:i/>
          <w:color w:val="5A5A5A"/>
        </w:rPr>
        <w:t>文档、在线帮助、教程与社区</w:t>
      </w:r>
    </w:p>
    <w:p w14:paraId="53E2E2C8">
      <w:pPr>
        <w:pStyle w:val="4"/>
      </w:pPr>
      <w:r>
        <w:t>14.1 Why documentation matters / 文档的作用</w:t>
      </w:r>
    </w:p>
    <w:p w14:paraId="0824C986">
      <w:pPr>
        <w:pStyle w:val="16"/>
        <w:spacing w:after="20"/>
      </w:pPr>
      <w:r>
        <w:rPr>
          <w:b/>
        </w:rPr>
        <w:t xml:space="preserve">Enabling usage — </w:t>
      </w:r>
      <w:r>
        <w:t>即使 UI 已标准化和改进，学习新界面仍有困难。现代用户通常不愿读长手册，因此系统应在线提供内容，并辅以 quick-start 指引和互动教程。</w:t>
      </w:r>
      <w:r>
        <w:rPr>
          <w:i/>
        </w:rPr>
        <w:t xml:space="preserve"> / Documentation supports initial learning and continued reference.</w:t>
      </w:r>
    </w:p>
    <w:p w14:paraId="381B72DD">
      <w:pPr>
        <w:pStyle w:val="16"/>
        <w:spacing w:after="20"/>
      </w:pPr>
      <w:r>
        <w:rPr>
          <w:b/>
        </w:rPr>
        <w:t xml:space="preserve">Societal consideration — </w:t>
      </w:r>
      <w:r>
        <w:t>新 UI 的正确使用方式未必不言自明；文档可引导预期使用，减少意外社会后果，并承担某种隐含的法律层免责声明功能。</w:t>
      </w:r>
      <w:r>
        <w:rPr>
          <w:i/>
        </w:rPr>
        <w:t xml:space="preserve"> / Documentation can guide intended use and mitigate consequences.</w:t>
      </w:r>
    </w:p>
    <w:p w14:paraId="02681AD1">
      <w:pPr>
        <w:pStyle w:val="16"/>
        <w:spacing w:after="20"/>
      </w:pPr>
      <w:r>
        <w:rPr>
          <w:b/>
        </w:rPr>
        <w:t xml:space="preserve">Documentation as UI — </w:t>
      </w:r>
      <w:r>
        <w:t>文档本身是一种特殊 UI，应应用 display design 原则塑造内容。</w:t>
      </w:r>
      <w:r>
        <w:rPr>
          <w:i/>
        </w:rPr>
        <w:t xml:space="preserve"> / Treat documentation as an interface.</w:t>
      </w:r>
    </w:p>
    <w:p w14:paraId="42C1CF80">
      <w:pPr>
        <w:pStyle w:val="4"/>
      </w:pPr>
      <w:r>
        <w:t>14.2 Support forms / 支持形式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1"/>
        <w:gridCol w:w="5141"/>
      </w:tblGrid>
      <w:tr w14:paraId="36B54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shd w:val="clear" w:color="auto" w:fill="D9EAF7"/>
            <w:vAlign w:val="top"/>
          </w:tcPr>
          <w:p w14:paraId="40820EA4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Form</w:t>
            </w:r>
          </w:p>
        </w:tc>
        <w:tc>
          <w:tcPr>
            <w:tcW w:w="5141" w:type="dxa"/>
            <w:shd w:val="clear" w:color="auto" w:fill="D9EAF7"/>
            <w:vAlign w:val="top"/>
          </w:tcPr>
          <w:p w14:paraId="0A41D590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课程要点</w:t>
            </w:r>
          </w:p>
        </w:tc>
      </w:tr>
      <w:tr w14:paraId="74538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679EB4B1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Online documentation</w:t>
            </w:r>
          </w:p>
        </w:tc>
        <w:tc>
          <w:tcPr>
            <w:tcW w:w="5141" w:type="dxa"/>
            <w:vAlign w:val="top"/>
          </w:tcPr>
          <w:p w14:paraId="07D49F47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提供灵活、方便获取的完整信息。</w:t>
            </w:r>
          </w:p>
        </w:tc>
      </w:tr>
      <w:tr w14:paraId="2CFD7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386C2B86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Online help</w:t>
            </w:r>
          </w:p>
        </w:tc>
        <w:tc>
          <w:tcPr>
            <w:tcW w:w="5141" w:type="dxa"/>
            <w:vAlign w:val="top"/>
          </w:tcPr>
          <w:p w14:paraId="16B2B2C8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用户通常带着具体问题求助，需能直达所需信息。</w:t>
            </w:r>
          </w:p>
        </w:tc>
      </w:tr>
      <w:tr w14:paraId="56F62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6F64E09C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Online tutorials / animated demonstrations</w:t>
            </w:r>
          </w:p>
        </w:tc>
        <w:tc>
          <w:tcPr>
            <w:tcW w:w="5141" w:type="dxa"/>
            <w:vAlign w:val="top"/>
          </w:tcPr>
          <w:p w14:paraId="4A5D52E6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用于训练与示范，降低学习门槛。</w:t>
            </w:r>
          </w:p>
        </w:tc>
      </w:tr>
      <w:tr w14:paraId="72E34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43A61474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Online communities</w:t>
            </w:r>
          </w:p>
        </w:tc>
        <w:tc>
          <w:tcPr>
            <w:tcW w:w="5141" w:type="dxa"/>
            <w:vAlign w:val="top"/>
          </w:tcPr>
          <w:p w14:paraId="5C313535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借助用户群体进行问答与经验分享。</w:t>
            </w:r>
          </w:p>
        </w:tc>
      </w:tr>
      <w:tr w14:paraId="1D539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top"/>
          </w:tcPr>
          <w:p w14:paraId="704E6582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Managed production</w:t>
            </w:r>
          </w:p>
        </w:tc>
        <w:tc>
          <w:tcPr>
            <w:tcW w:w="5141" w:type="dxa"/>
            <w:vAlign w:val="top"/>
          </w:tcPr>
          <w:p w14:paraId="08090FBF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像其他项目一样，需要合适人员、里程碑与管理。</w:t>
            </w:r>
          </w:p>
        </w:tc>
      </w:tr>
    </w:tbl>
    <w:p w14:paraId="540E3294">
      <w:pPr>
        <w:spacing w:after="20"/>
      </w:pPr>
    </w:p>
    <w:p w14:paraId="42D985A9">
      <w:r>
        <w:br w:type="page"/>
      </w:r>
    </w:p>
    <w:p w14:paraId="08E1C427">
      <w:pPr>
        <w:pStyle w:val="3"/>
      </w:pPr>
      <w:r>
        <w:t>Chapter 15 — Information Search</w:t>
      </w:r>
    </w:p>
    <w:p w14:paraId="08A1BBF0">
      <w:pPr>
        <w:spacing w:after="40"/>
      </w:pPr>
      <w:r>
        <w:rPr>
          <w:i/>
          <w:color w:val="5A5A5A"/>
        </w:rPr>
        <w:t>五阶段搜索框架与多模态搜索</w:t>
      </w:r>
    </w:p>
    <w:p w14:paraId="79A0124A">
      <w:pPr>
        <w:pStyle w:val="4"/>
      </w:pPr>
      <w:r>
        <w:t>15.1 Five-stage search framework / 五阶段搜索框架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7"/>
        <w:gridCol w:w="3427"/>
        <w:gridCol w:w="3427"/>
      </w:tblGrid>
      <w:tr w14:paraId="52DAC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shd w:val="clear" w:color="auto" w:fill="D9EAF7"/>
            <w:vAlign w:val="top"/>
          </w:tcPr>
          <w:p w14:paraId="5C209B4A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Stage</w:t>
            </w:r>
          </w:p>
        </w:tc>
        <w:tc>
          <w:tcPr>
            <w:tcW w:w="3427" w:type="dxa"/>
            <w:shd w:val="clear" w:color="auto" w:fill="D9EAF7"/>
            <w:vAlign w:val="top"/>
          </w:tcPr>
          <w:p w14:paraId="1F5A4F82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中文解释</w:t>
            </w:r>
          </w:p>
        </w:tc>
        <w:tc>
          <w:tcPr>
            <w:tcW w:w="3427" w:type="dxa"/>
            <w:shd w:val="clear" w:color="auto" w:fill="D9EAF7"/>
            <w:vAlign w:val="top"/>
          </w:tcPr>
          <w:p w14:paraId="0A02A1F3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English</w:t>
            </w:r>
          </w:p>
        </w:tc>
      </w:tr>
      <w:tr w14:paraId="68577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75836876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Formulation</w:t>
            </w:r>
          </w:p>
        </w:tc>
        <w:tc>
          <w:tcPr>
            <w:tcW w:w="3427" w:type="dxa"/>
            <w:vAlign w:val="top"/>
          </w:tcPr>
          <w:p w14:paraId="5DF2B6FB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表达搜索意图/条件。</w:t>
            </w:r>
          </w:p>
        </w:tc>
        <w:tc>
          <w:tcPr>
            <w:tcW w:w="3427" w:type="dxa"/>
            <w:vAlign w:val="top"/>
          </w:tcPr>
          <w:p w14:paraId="5CADB554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Expressing the search.</w:t>
            </w:r>
          </w:p>
        </w:tc>
      </w:tr>
      <w:tr w14:paraId="4B1EA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753EB0FF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Initiation of action</w:t>
            </w:r>
          </w:p>
        </w:tc>
        <w:tc>
          <w:tcPr>
            <w:tcW w:w="3427" w:type="dxa"/>
            <w:vAlign w:val="top"/>
          </w:tcPr>
          <w:p w14:paraId="26A731D2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发起搜索。</w:t>
            </w:r>
          </w:p>
        </w:tc>
        <w:tc>
          <w:tcPr>
            <w:tcW w:w="3427" w:type="dxa"/>
            <w:vAlign w:val="top"/>
          </w:tcPr>
          <w:p w14:paraId="07A3C448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Launching the search.</w:t>
            </w:r>
          </w:p>
        </w:tc>
      </w:tr>
      <w:tr w14:paraId="29F7A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4183B12B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Review of results</w:t>
            </w:r>
          </w:p>
        </w:tc>
        <w:tc>
          <w:tcPr>
            <w:tcW w:w="3427" w:type="dxa"/>
            <w:vAlign w:val="top"/>
          </w:tcPr>
          <w:p w14:paraId="6AA3BD55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阅读消息与结果。</w:t>
            </w:r>
          </w:p>
        </w:tc>
        <w:tc>
          <w:tcPr>
            <w:tcW w:w="3427" w:type="dxa"/>
            <w:vAlign w:val="top"/>
          </w:tcPr>
          <w:p w14:paraId="3C6A10DD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Reading messages and outcomes.</w:t>
            </w:r>
          </w:p>
        </w:tc>
      </w:tr>
      <w:tr w14:paraId="6EB57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7C229124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Refinement</w:t>
            </w:r>
          </w:p>
        </w:tc>
        <w:tc>
          <w:tcPr>
            <w:tcW w:w="3427" w:type="dxa"/>
            <w:vAlign w:val="top"/>
          </w:tcPr>
          <w:p w14:paraId="2CFD9EEC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形成下一步检索，系统应提供解释结果并支持渐进细化。</w:t>
            </w:r>
          </w:p>
        </w:tc>
        <w:tc>
          <w:tcPr>
            <w:tcW w:w="3427" w:type="dxa"/>
            <w:vAlign w:val="top"/>
          </w:tcPr>
          <w:p w14:paraId="3CB70DAA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Formulating the next step; progressive refinement.</w:t>
            </w:r>
          </w:p>
        </w:tc>
      </w:tr>
      <w:tr w14:paraId="57F72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554E569F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Use</w:t>
            </w:r>
          </w:p>
        </w:tc>
        <w:tc>
          <w:tcPr>
            <w:tcW w:w="3427" w:type="dxa"/>
            <w:vAlign w:val="top"/>
          </w:tcPr>
          <w:p w14:paraId="19B27357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整理或传播洞见。</w:t>
            </w:r>
          </w:p>
        </w:tc>
        <w:tc>
          <w:tcPr>
            <w:tcW w:w="3427" w:type="dxa"/>
            <w:vAlign w:val="top"/>
          </w:tcPr>
          <w:p w14:paraId="365B3947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Compiling or disseminating insight.</w:t>
            </w:r>
          </w:p>
        </w:tc>
      </w:tr>
    </w:tbl>
    <w:p w14:paraId="15030072">
      <w:pPr>
        <w:spacing w:after="20"/>
      </w:pPr>
    </w:p>
    <w:p w14:paraId="597BEA4B">
      <w:pPr>
        <w:pStyle w:val="16"/>
        <w:spacing w:after="20"/>
      </w:pPr>
      <w:r>
        <w:rPr>
          <w:b/>
        </w:rPr>
        <w:t xml:space="preserve">Explicit initiation — </w:t>
      </w:r>
      <w:r>
        <w:t>点击搜索按钮或键盘 Enter 发起。</w:t>
      </w:r>
      <w:r>
        <w:rPr>
          <w:i/>
        </w:rPr>
        <w:t xml:space="preserve"> / User explicitly triggers search.</w:t>
      </w:r>
    </w:p>
    <w:p w14:paraId="7265B3D1">
      <w:pPr>
        <w:pStyle w:val="16"/>
        <w:spacing w:after="20"/>
      </w:pPr>
      <w:r>
        <w:rPr>
          <w:b/>
        </w:rPr>
        <w:t xml:space="preserve">Implicit initiation / dynamic queries — </w:t>
      </w:r>
      <w:r>
        <w:t>每次修改查询条件就立即产生新结果；动态查询使用户连续调节查询控件并更新结果。</w:t>
      </w:r>
      <w:r>
        <w:rPr>
          <w:i/>
        </w:rPr>
        <w:t xml:space="preserve"> / Results update continuously as controls change.</w:t>
      </w:r>
    </w:p>
    <w:p w14:paraId="6650E7BD">
      <w:pPr>
        <w:pStyle w:val="16"/>
        <w:spacing w:after="20"/>
      </w:pPr>
      <w:r>
        <w:rPr>
          <w:b/>
        </w:rPr>
        <w:t xml:space="preserve">Modalities and data — </w:t>
      </w:r>
      <w:r>
        <w:t>命令语言搜索、自然语言搜索；图像、视频、音频、地理信息搜索。</w:t>
      </w:r>
      <w:r>
        <w:rPr>
          <w:i/>
        </w:rPr>
        <w:t xml:space="preserve"> / Command/NL search and multimedia/geographic data.</w:t>
      </w:r>
    </w:p>
    <w:p w14:paraId="2E5343D1">
      <w:r>
        <w:br w:type="page"/>
      </w:r>
    </w:p>
    <w:p w14:paraId="3A6AC745">
      <w:pPr>
        <w:pStyle w:val="3"/>
      </w:pPr>
      <w:r>
        <w:t>Chapter 16 — Data Visualization</w:t>
      </w:r>
    </w:p>
    <w:p w14:paraId="13EF0726">
      <w:pPr>
        <w:spacing w:after="40"/>
      </w:pPr>
      <w:r>
        <w:rPr>
          <w:i/>
          <w:color w:val="5A5A5A"/>
        </w:rPr>
        <w:t>数据可视化：已上传页面以图示为主，文本可确认范围有限</w:t>
      </w:r>
    </w:p>
    <w:p w14:paraId="40903821">
      <w:pPr>
        <w:spacing w:after="40"/>
      </w:pPr>
      <w:r>
        <w:t>本章课件中大量页面为图示，解析文本只明确出现两个标题：“Tasks in Data Visualization”和“Visualization by Data Type”。由于题面图中文字未完整提取，不能把常见可视化教材内容当作课程已授事实写入。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2"/>
      </w:tblGrid>
      <w:tr w14:paraId="12DA3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82" w:type="dxa"/>
            <w:shd w:val="clear" w:color="auto" w:fill="EAF3F8"/>
          </w:tcPr>
          <w:p w14:paraId="65DE016B">
            <w:pPr>
              <w:spacing w:after="0" w:line="240" w:lineRule="auto"/>
            </w:pPr>
            <w:r>
              <w:rPr>
                <w:b/>
                <w:color w:val="1F4E79"/>
              </w:rPr>
              <w:t>可确认的复习点 / Confirmed items</w:t>
            </w:r>
          </w:p>
          <w:p w14:paraId="4DD762FB">
            <w:pPr>
              <w:pStyle w:val="16"/>
              <w:spacing w:after="0" w:line="240" w:lineRule="auto"/>
            </w:pPr>
            <w:r>
              <w:t>Data visualization 的任务导向：先从用户要完成的任务出发，而非只选择“好看的图”。</w:t>
            </w:r>
          </w:p>
          <w:p w14:paraId="68828873">
            <w:pPr>
              <w:pStyle w:val="16"/>
              <w:spacing w:after="0" w:line="240" w:lineRule="auto"/>
            </w:pPr>
            <w:r>
              <w:t>Visualization by data type：图形选择应由数据类型驱动。</w:t>
            </w:r>
          </w:p>
          <w:p w14:paraId="52411AC2">
            <w:pPr>
              <w:pStyle w:val="16"/>
              <w:spacing w:after="0" w:line="240" w:lineRule="auto"/>
            </w:pPr>
            <w:r>
              <w:t>建议直接回看 Ch.15+16 原 PPT 的第 15–30 页图示，逐页记录图类型、对应数据类型与任务；这是本资料唯一不能从可提取文本充分展开的部分。</w:t>
            </w:r>
          </w:p>
        </w:tc>
      </w:tr>
    </w:tbl>
    <w:p w14:paraId="5D92776D">
      <w:pPr>
        <w:spacing w:after="20"/>
      </w:pPr>
    </w:p>
    <w:p w14:paraId="4ECEECFB">
      <w:r>
        <w:br w:type="page"/>
      </w:r>
    </w:p>
    <w:p w14:paraId="0A3CB306">
      <w:pPr>
        <w:pStyle w:val="3"/>
      </w:pPr>
      <w:r>
        <w:t>Quiz 1 — 题目反推的重点与参考答案</w:t>
      </w:r>
    </w:p>
    <w:p w14:paraId="28FDDEFA">
      <w:pPr>
        <w:spacing w:after="40"/>
      </w:pPr>
      <w:r>
        <w:rPr>
          <w:i/>
          <w:color w:val="5A5A5A"/>
        </w:rPr>
        <w:t>依据两张 Quiz 图片；作为复习锚点，不替代正式答案</w:t>
      </w:r>
    </w:p>
    <w:p w14:paraId="0EF78AFA">
      <w:pPr>
        <w:spacing w:after="40"/>
      </w:pPr>
      <w:r>
        <w:t>Quiz 1 覆盖 Chapter 1、2、3（Guidelines），题型为选择、判断、简答与表格分析。其最大价值是提示：教师既考术语定义，也考“为什么”“取舍”“用指标选方案”。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7"/>
        <w:gridCol w:w="3427"/>
        <w:gridCol w:w="3427"/>
      </w:tblGrid>
      <w:tr w14:paraId="2E0B8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shd w:val="clear" w:color="auto" w:fill="D9EAF7"/>
            <w:vAlign w:val="top"/>
          </w:tcPr>
          <w:p w14:paraId="588CC283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Question</w:t>
            </w:r>
          </w:p>
        </w:tc>
        <w:tc>
          <w:tcPr>
            <w:tcW w:w="3427" w:type="dxa"/>
            <w:shd w:val="clear" w:color="auto" w:fill="D9EAF7"/>
            <w:vAlign w:val="top"/>
          </w:tcPr>
          <w:p w14:paraId="6098C15D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Reference answer / 参考结论</w:t>
            </w:r>
          </w:p>
        </w:tc>
        <w:tc>
          <w:tcPr>
            <w:tcW w:w="3427" w:type="dxa"/>
            <w:shd w:val="clear" w:color="auto" w:fill="D9EAF7"/>
            <w:vAlign w:val="top"/>
          </w:tcPr>
          <w:p w14:paraId="6B777512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对应知识</w:t>
            </w:r>
          </w:p>
        </w:tc>
      </w:tr>
      <w:tr w14:paraId="56201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1FBBDBD8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Q1</w:t>
            </w:r>
          </w:p>
        </w:tc>
        <w:tc>
          <w:tcPr>
            <w:tcW w:w="3427" w:type="dxa"/>
            <w:vAlign w:val="top"/>
          </w:tcPr>
          <w:p w14:paraId="22085C4A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United interaction domain 不是课程语境中的 UID 释义。</w:t>
            </w:r>
          </w:p>
        </w:tc>
        <w:tc>
          <w:tcPr>
            <w:tcW w:w="3427" w:type="dxa"/>
            <w:vAlign w:val="top"/>
          </w:tcPr>
          <w:p w14:paraId="05D55CB6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UID = User Interface Development / Design。</w:t>
            </w:r>
          </w:p>
        </w:tc>
      </w:tr>
      <w:tr w14:paraId="404F9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4F9AFEED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Q2</w:t>
            </w:r>
          </w:p>
        </w:tc>
        <w:tc>
          <w:tcPr>
            <w:tcW w:w="3427" w:type="dxa"/>
            <w:vAlign w:val="top"/>
          </w:tcPr>
          <w:p w14:paraId="38DF45A4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Social impact。</w:t>
            </w:r>
          </w:p>
        </w:tc>
        <w:tc>
          <w:tcPr>
            <w:tcW w:w="3427" w:type="dxa"/>
            <w:vAlign w:val="top"/>
          </w:tcPr>
          <w:p w14:paraId="51FDBC0B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UID 的技术与社会影响。</w:t>
            </w:r>
          </w:p>
        </w:tc>
      </w:tr>
      <w:tr w14:paraId="0A995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7A662EA6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Q3</w:t>
            </w:r>
          </w:p>
        </w:tc>
        <w:tc>
          <w:tcPr>
            <w:tcW w:w="3427" w:type="dxa"/>
            <w:vAlign w:val="top"/>
          </w:tcPr>
          <w:p w14:paraId="10416C3D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“UIDers 比其他硬件/软件设计者更重要”错误。</w:t>
            </w:r>
          </w:p>
        </w:tc>
        <w:tc>
          <w:tcPr>
            <w:tcW w:w="3427" w:type="dxa"/>
            <w:vAlign w:val="top"/>
          </w:tcPr>
          <w:p w14:paraId="3CC0CAC7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跨学科协作，不作绝对价值排序。</w:t>
            </w:r>
          </w:p>
        </w:tc>
      </w:tr>
      <w:tr w14:paraId="29EAC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24F6EEA1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Q4</w:t>
            </w:r>
          </w:p>
        </w:tc>
        <w:tc>
          <w:tcPr>
            <w:tcW w:w="3427" w:type="dxa"/>
            <w:vAlign w:val="top"/>
          </w:tcPr>
          <w:p w14:paraId="04D5DAB0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研究者和 UIDers 用技术服务人类需要，为生活改变创造条件。</w:t>
            </w:r>
          </w:p>
        </w:tc>
        <w:tc>
          <w:tcPr>
            <w:tcW w:w="3427" w:type="dxa"/>
            <w:vAlign w:val="top"/>
          </w:tcPr>
          <w:p w14:paraId="4321CABC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HCI 与用户中心立场。</w:t>
            </w:r>
          </w:p>
        </w:tc>
      </w:tr>
      <w:tr w14:paraId="44B1D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1312C307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Q5</w:t>
            </w:r>
          </w:p>
        </w:tc>
        <w:tc>
          <w:tcPr>
            <w:tcW w:w="3427" w:type="dxa"/>
            <w:vAlign w:val="top"/>
          </w:tcPr>
          <w:p w14:paraId="7FDB4C50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把 UI 的最终目标说成“不需要人类的完全自动化”错误。</w:t>
            </w:r>
          </w:p>
        </w:tc>
        <w:tc>
          <w:tcPr>
            <w:tcW w:w="3427" w:type="dxa"/>
            <w:vAlign w:val="top"/>
          </w:tcPr>
          <w:p w14:paraId="3BD7BBEB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人类控制与自动化。</w:t>
            </w:r>
          </w:p>
        </w:tc>
      </w:tr>
      <w:tr w14:paraId="385A4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607AC49C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Q6</w:t>
            </w:r>
          </w:p>
        </w:tc>
        <w:tc>
          <w:tcPr>
            <w:tcW w:w="3427" w:type="dxa"/>
            <w:vAlign w:val="top"/>
          </w:tcPr>
          <w:p w14:paraId="34BC5EFA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Uniqueness 不是 usability goal。</w:t>
            </w:r>
          </w:p>
        </w:tc>
        <w:tc>
          <w:tcPr>
            <w:tcW w:w="3427" w:type="dxa"/>
            <w:vAlign w:val="top"/>
          </w:tcPr>
          <w:p w14:paraId="4DECB75C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Usability / universality / usefulness。</w:t>
            </w:r>
          </w:p>
        </w:tc>
      </w:tr>
      <w:tr w14:paraId="1D73C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48B4A6D0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Q7</w:t>
            </w:r>
          </w:p>
        </w:tc>
        <w:tc>
          <w:tcPr>
            <w:tcW w:w="3427" w:type="dxa"/>
            <w:vAlign w:val="top"/>
          </w:tcPr>
          <w:p w14:paraId="79092E27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专业环境通常更强调 speed of performance（并重视低错误）。</w:t>
            </w:r>
          </w:p>
        </w:tc>
        <w:tc>
          <w:tcPr>
            <w:tcW w:w="3427" w:type="dxa"/>
            <w:vAlign w:val="top"/>
          </w:tcPr>
          <w:p w14:paraId="64B02243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五项可用性度量。</w:t>
            </w:r>
          </w:p>
        </w:tc>
      </w:tr>
      <w:tr w14:paraId="334D1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162793F2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Q8</w:t>
            </w:r>
          </w:p>
        </w:tc>
        <w:tc>
          <w:tcPr>
            <w:tcW w:w="3427" w:type="dxa"/>
            <w:vAlign w:val="top"/>
          </w:tcPr>
          <w:p w14:paraId="7AB5A2FB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Cultural differences 不属于 individual diversity。</w:t>
            </w:r>
          </w:p>
        </w:tc>
        <w:tc>
          <w:tcPr>
            <w:tcW w:w="3427" w:type="dxa"/>
            <w:vAlign w:val="top"/>
          </w:tcPr>
          <w:p w14:paraId="7D99E527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个体 vs 群体/社区差异。</w:t>
            </w:r>
          </w:p>
        </w:tc>
      </w:tr>
      <w:tr w14:paraId="5048E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10476AB3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Q9</w:t>
            </w:r>
          </w:p>
        </w:tc>
        <w:tc>
          <w:tcPr>
            <w:tcW w:w="3427" w:type="dxa"/>
            <w:vAlign w:val="top"/>
          </w:tcPr>
          <w:p w14:paraId="4579BA79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Rate of errors by users。</w:t>
            </w:r>
          </w:p>
        </w:tc>
        <w:tc>
          <w:tcPr>
            <w:tcW w:w="3427" w:type="dxa"/>
            <w:vAlign w:val="top"/>
          </w:tcPr>
          <w:p w14:paraId="15D29C4B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五项指标中剩余一项。</w:t>
            </w:r>
          </w:p>
        </w:tc>
      </w:tr>
      <w:tr w14:paraId="4E5C8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21441635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Q10</w:t>
            </w:r>
          </w:p>
        </w:tc>
        <w:tc>
          <w:tcPr>
            <w:tcW w:w="3427" w:type="dxa"/>
            <w:vAlign w:val="top"/>
          </w:tcPr>
          <w:p w14:paraId="4F5662A0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Fully-automated industrial manufacturing/agricultural production 不在课件列出的 usability motivations 中。</w:t>
            </w:r>
          </w:p>
        </w:tc>
        <w:tc>
          <w:tcPr>
            <w:tcW w:w="3427" w:type="dxa"/>
            <w:vAlign w:val="top"/>
          </w:tcPr>
          <w:p w14:paraId="2A38B8A3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动机类别。</w:t>
            </w:r>
          </w:p>
        </w:tc>
      </w:tr>
      <w:tr w14:paraId="6119B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27BD52FC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Q11</w:t>
            </w:r>
          </w:p>
        </w:tc>
        <w:tc>
          <w:tcPr>
            <w:tcW w:w="3427" w:type="dxa"/>
            <w:vAlign w:val="top"/>
          </w:tcPr>
          <w:p w14:paraId="4C015DD4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True：既存环境中的拉压井、三叉扶手等可作为 UI。</w:t>
            </w:r>
          </w:p>
        </w:tc>
        <w:tc>
          <w:tcPr>
            <w:tcW w:w="3427" w:type="dxa"/>
            <w:vAlign w:val="top"/>
          </w:tcPr>
          <w:p w14:paraId="13FFA473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UI 的广义媒介概念。</w:t>
            </w:r>
          </w:p>
        </w:tc>
      </w:tr>
      <w:tr w14:paraId="27CF2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5DCCC100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Q12</w:t>
            </w:r>
          </w:p>
        </w:tc>
        <w:tc>
          <w:tcPr>
            <w:tcW w:w="3427" w:type="dxa"/>
            <w:vAlign w:val="top"/>
          </w:tcPr>
          <w:p w14:paraId="2EAC03CB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False：课件明确给出“核心技术未变而 UI 带来巨大差异”的反例。</w:t>
            </w:r>
          </w:p>
        </w:tc>
        <w:tc>
          <w:tcPr>
            <w:tcW w:w="3427" w:type="dxa"/>
            <w:vAlign w:val="top"/>
          </w:tcPr>
          <w:p w14:paraId="15181A37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UI 贡献。</w:t>
            </w:r>
          </w:p>
        </w:tc>
      </w:tr>
      <w:tr w14:paraId="1763E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0186F7B6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Q13</w:t>
            </w:r>
          </w:p>
        </w:tc>
        <w:tc>
          <w:tcPr>
            <w:tcW w:w="3427" w:type="dxa"/>
            <w:vAlign w:val="top"/>
          </w:tcPr>
          <w:p w14:paraId="5C2669AD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True：经验、实证与理论可组织为三层。</w:t>
            </w:r>
          </w:p>
        </w:tc>
        <w:tc>
          <w:tcPr>
            <w:tcW w:w="3427" w:type="dxa"/>
            <w:vAlign w:val="top"/>
          </w:tcPr>
          <w:p w14:paraId="1BCC5C45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Guidelines/Principles/Theories。</w:t>
            </w:r>
          </w:p>
        </w:tc>
      </w:tr>
      <w:tr w14:paraId="2D93E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17D8727E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Q14</w:t>
            </w:r>
          </w:p>
        </w:tc>
        <w:tc>
          <w:tcPr>
            <w:tcW w:w="3427" w:type="dxa"/>
            <w:vAlign w:val="top"/>
          </w:tcPr>
          <w:p w14:paraId="2D78AE40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False：Guidelines 是低层，不是最高层。</w:t>
            </w:r>
          </w:p>
        </w:tc>
        <w:tc>
          <w:tcPr>
            <w:tcW w:w="3427" w:type="dxa"/>
            <w:vAlign w:val="top"/>
          </w:tcPr>
          <w:p w14:paraId="02ADB409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三层组织。</w:t>
            </w:r>
          </w:p>
        </w:tc>
      </w:tr>
      <w:tr w14:paraId="1788E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0E562A25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Q15</w:t>
            </w:r>
          </w:p>
        </w:tc>
        <w:tc>
          <w:tcPr>
            <w:tcW w:w="3427" w:type="dxa"/>
            <w:vAlign w:val="top"/>
          </w:tcPr>
          <w:p w14:paraId="16164380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False：所给语句是 guidelines，不是 theories。</w:t>
            </w:r>
          </w:p>
        </w:tc>
        <w:tc>
          <w:tcPr>
            <w:tcW w:w="3427" w:type="dxa"/>
            <w:vAlign w:val="top"/>
          </w:tcPr>
          <w:p w14:paraId="668B704F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指南例子。</w:t>
            </w:r>
          </w:p>
        </w:tc>
      </w:tr>
      <w:tr w14:paraId="6F801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03AB50B9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Q16</w:t>
            </w:r>
          </w:p>
        </w:tc>
        <w:tc>
          <w:tcPr>
            <w:tcW w:w="3427" w:type="dxa"/>
            <w:vAlign w:val="top"/>
          </w:tcPr>
          <w:p w14:paraId="3E931894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False：个人习惯与爱好是 individual diversity。</w:t>
            </w:r>
          </w:p>
        </w:tc>
        <w:tc>
          <w:tcPr>
            <w:tcW w:w="3427" w:type="dxa"/>
            <w:vAlign w:val="top"/>
          </w:tcPr>
          <w:p w14:paraId="15FD06FD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多样性分类。</w:t>
            </w:r>
          </w:p>
        </w:tc>
      </w:tr>
      <w:tr w14:paraId="65EEE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70BC8EFA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Q17</w:t>
            </w:r>
          </w:p>
        </w:tc>
        <w:tc>
          <w:tcPr>
            <w:tcW w:w="3427" w:type="dxa"/>
            <w:vAlign w:val="top"/>
          </w:tcPr>
          <w:p w14:paraId="057B74F5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True：backward compatibility 可纳入更大的 usability goals 集合并产生取舍。</w:t>
            </w:r>
          </w:p>
        </w:tc>
        <w:tc>
          <w:tcPr>
            <w:tcW w:w="3427" w:type="dxa"/>
            <w:vAlign w:val="top"/>
          </w:tcPr>
          <w:p w14:paraId="08ACA5A8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UU 与 tradeoff。</w:t>
            </w:r>
          </w:p>
        </w:tc>
      </w:tr>
      <w:tr w14:paraId="0E261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2256D9CD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Q20</w:t>
            </w:r>
          </w:p>
        </w:tc>
        <w:tc>
          <w:tcPr>
            <w:tcW w:w="3427" w:type="dxa"/>
            <w:vAlign w:val="top"/>
          </w:tcPr>
          <w:p w14:paraId="5F0C95F2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儿童更适合有故事沉浸/角色语境的方案；成年人通常更能接受纯文本提示。</w:t>
            </w:r>
          </w:p>
        </w:tc>
        <w:tc>
          <w:tcPr>
            <w:tcW w:w="3427" w:type="dxa"/>
            <w:vAlign w:val="top"/>
          </w:tcPr>
          <w:p w14:paraId="491E99EC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儿童的交互、抽象与参与特点。</w:t>
            </w:r>
          </w:p>
        </w:tc>
      </w:tr>
      <w:tr w14:paraId="42D4E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0942B6D1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Q21</w:t>
            </w:r>
          </w:p>
        </w:tc>
        <w:tc>
          <w:tcPr>
            <w:tcW w:w="3427" w:type="dxa"/>
            <w:vAlign w:val="top"/>
          </w:tcPr>
          <w:p w14:paraId="41141EBA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在满足速度≤30min、错误率≤10%、保持度≥80%、满意度≥70 的方案中，B/C/D 合格；若最重视 time to learn，应选 C（240min 最短）。</w:t>
            </w:r>
          </w:p>
        </w:tc>
        <w:tc>
          <w:tcPr>
            <w:tcW w:w="3427" w:type="dxa"/>
            <w:vAlign w:val="top"/>
          </w:tcPr>
          <w:p w14:paraId="2E6D0CD7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约束筛选 + 优先指标决策。</w:t>
            </w:r>
          </w:p>
        </w:tc>
      </w:tr>
    </w:tbl>
    <w:p w14:paraId="45059332">
      <w:pPr>
        <w:spacing w:after="20"/>
      </w:pPr>
    </w:p>
    <w:p w14:paraId="676AD261">
      <w:r>
        <w:br w:type="page"/>
      </w:r>
    </w:p>
    <w:p w14:paraId="494A7D41">
      <w:pPr>
        <w:pStyle w:val="3"/>
      </w:pPr>
      <w:r>
        <w:t>期末考试范围与占比分析 / Final Exam Scope and Weight Analysis</w:t>
      </w:r>
    </w:p>
    <w:p w14:paraId="4F30B98A">
      <w:pPr>
        <w:spacing w:after="40"/>
      </w:pPr>
      <w:r>
        <w:rPr>
          <w:i/>
          <w:color w:val="5A5A5A"/>
        </w:rPr>
        <w:t>区分“课程明示”与“合理推断”</w:t>
      </w:r>
    </w:p>
    <w:p w14:paraId="37B20E9B">
      <w:pPr>
        <w:pStyle w:val="4"/>
      </w:pPr>
      <w:r>
        <w:t>A. 课程文件中明确给出的事实 / Explicit facts</w:t>
      </w:r>
    </w:p>
    <w:p w14:paraId="4D6510B9">
      <w:pPr>
        <w:pStyle w:val="16"/>
        <w:spacing w:after="20"/>
      </w:pPr>
      <w:r>
        <w:rPr>
          <w:b/>
        </w:rPr>
        <w:t xml:space="preserve">Course schedule — </w:t>
      </w:r>
      <w:r>
        <w:t>Mid-Exam 安排在 Week 9（Chapter 9 同周）；Final Exam 安排在 Week 17，Chapter 16 之后。</w:t>
      </w:r>
      <w:r>
        <w:rPr>
          <w:i/>
        </w:rPr>
        <w:t xml:space="preserve"> / The schedule places Mid-Exam in Week 9 and Final Exam in Week 17.</w:t>
      </w:r>
    </w:p>
    <w:p w14:paraId="49B51806">
      <w:pPr>
        <w:pStyle w:val="16"/>
        <w:spacing w:after="20"/>
      </w:pPr>
      <w:r>
        <w:rPr>
          <w:b/>
        </w:rPr>
        <w:t xml:space="preserve">Exam source — </w:t>
      </w:r>
      <w:r>
        <w:t>记忆型考点完全基于教学 PPT；应用型题可用 PPT 外新案例，但只能用 PPT 已教知识处理。</w:t>
      </w:r>
      <w:r>
        <w:rPr>
          <w:i/>
        </w:rPr>
        <w:t xml:space="preserve"> / Memory questions are PPT-based; application questions may use new scenarios.</w:t>
      </w:r>
    </w:p>
    <w:p w14:paraId="5628528C">
      <w:pPr>
        <w:pStyle w:val="16"/>
        <w:spacing w:after="20"/>
      </w:pPr>
      <w:r>
        <w:rPr>
          <w:b/>
        </w:rPr>
        <w:t xml:space="preserve">No grading percentages — </w:t>
      </w:r>
      <w:r>
        <w:t>上传的课程概览页未列出期末卷各章节分值、题型权重，亦未列出课程总评中 Final Exam 占比。</w:t>
      </w:r>
      <w:r>
        <w:rPr>
          <w:i/>
        </w:rPr>
        <w:t xml:space="preserve"> / No official percentage breakdown appears in the uploaded material.</w:t>
      </w:r>
    </w:p>
    <w:p w14:paraId="583237DE">
      <w:pPr>
        <w:pStyle w:val="4"/>
      </w:pPr>
      <w:r>
        <w:t>B. 最稳妥的期末范围判断 / Safest scope conclusion</w:t>
      </w:r>
    </w:p>
    <w:p w14:paraId="6D8B54DE">
      <w:pPr>
        <w:spacing w:after="40"/>
      </w:pPr>
      <w:r>
        <w:t>基于安排，最可能的“主范围”是 Mid-Exam 之后的 Chapter 10–16：Devices、Communication &amp; Collaboration、Advancing UX、Documentation &amp; User Support、Information Search、Data Visualization；其中 Week 12/13/14/15 对应 Ch.12、Ch.14、Ch.15、Ch.16。Chapter 13 在课程表中未列课件，Chapter 5 在本次文件中缺失。</w:t>
      </w:r>
    </w:p>
    <w:p w14:paraId="2D1F6C59">
      <w:pPr>
        <w:spacing w:after="40"/>
      </w:pPr>
      <w:r>
        <w:t>但课程材料没有写 “Final is non-cumulative”。因此不能排除 Ch.1–9 的概念被以综合应用题形式复用。特别是 usability measures、universal usability、eight golden rules、design iteration、interaction styles 是后续章节分析题的通用语言。</w:t>
      </w:r>
    </w:p>
    <w:p w14:paraId="5FB32089">
      <w:pPr>
        <w:pStyle w:val="4"/>
      </w:pPr>
      <w:r>
        <w:t>C. 官方占比：无法从当前资料给出 / Official percentage: not available</w:t>
      </w:r>
    </w:p>
    <w:p w14:paraId="63728BEE">
      <w:pPr>
        <w:spacing w:after="40"/>
      </w:pPr>
      <w:r>
        <w:t>不能根据课程周数、PPT 页数或 Quiz 1 直接声称正式分值比例。任何“第 X 章占 Y%”在当前资料下都是无依据推测。</w:t>
      </w:r>
    </w:p>
    <w:p w14:paraId="5D288F08">
      <w:pPr>
        <w:pStyle w:val="4"/>
      </w:pPr>
      <w:r>
        <w:t>D. 复习时间建议（非官方预测） / Study-time allocation (not official marks)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7"/>
        <w:gridCol w:w="3427"/>
        <w:gridCol w:w="3427"/>
      </w:tblGrid>
      <w:tr w14:paraId="440C2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shd w:val="clear" w:color="auto" w:fill="D9EAF7"/>
            <w:vAlign w:val="top"/>
          </w:tcPr>
          <w:p w14:paraId="241FC340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Priority</w:t>
            </w:r>
          </w:p>
        </w:tc>
        <w:tc>
          <w:tcPr>
            <w:tcW w:w="3427" w:type="dxa"/>
            <w:shd w:val="clear" w:color="auto" w:fill="D9EAF7"/>
            <w:vAlign w:val="top"/>
          </w:tcPr>
          <w:p w14:paraId="00C5A0CF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Recommended share</w:t>
            </w:r>
          </w:p>
        </w:tc>
        <w:tc>
          <w:tcPr>
            <w:tcW w:w="3427" w:type="dxa"/>
            <w:shd w:val="clear" w:color="auto" w:fill="D9EAF7"/>
            <w:vAlign w:val="top"/>
          </w:tcPr>
          <w:p w14:paraId="00D93D87">
            <w:pPr>
              <w:spacing w:after="0" w:line="240" w:lineRule="auto"/>
            </w:pPr>
            <w:r>
              <w:rPr>
                <w:rFonts w:ascii="Aptos" w:hAnsi="Aptos" w:eastAsia="微软雅黑"/>
                <w:b/>
                <w:sz w:val="17"/>
              </w:rPr>
              <w:t>Reason</w:t>
            </w:r>
          </w:p>
        </w:tc>
      </w:tr>
      <w:tr w14:paraId="6DBB8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70586A36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高 / High</w:t>
            </w:r>
          </w:p>
        </w:tc>
        <w:tc>
          <w:tcPr>
            <w:tcW w:w="3427" w:type="dxa"/>
            <w:vAlign w:val="top"/>
          </w:tcPr>
          <w:p w14:paraId="7A072826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35%</w:t>
            </w:r>
          </w:p>
        </w:tc>
        <w:tc>
          <w:tcPr>
            <w:tcW w:w="3427" w:type="dxa"/>
            <w:vAlign w:val="top"/>
          </w:tcPr>
          <w:p w14:paraId="7DAFA70C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Ch.12：内容最广，含显示、窗口、动画、网页、颜色、错误信息、响应时间；容易出解释/设计题。</w:t>
            </w:r>
          </w:p>
        </w:tc>
      </w:tr>
      <w:tr w14:paraId="2F735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509F526D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高 / High</w:t>
            </w:r>
          </w:p>
        </w:tc>
        <w:tc>
          <w:tcPr>
            <w:tcW w:w="3427" w:type="dxa"/>
            <w:vAlign w:val="top"/>
          </w:tcPr>
          <w:p w14:paraId="69D7A14A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20%</w:t>
            </w:r>
          </w:p>
        </w:tc>
        <w:tc>
          <w:tcPr>
            <w:tcW w:w="3427" w:type="dxa"/>
            <w:vAlign w:val="top"/>
          </w:tcPr>
          <w:p w14:paraId="4E7DC44B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Ch.11：协作模型、时间/空间矩阵、隐私/身份/信任/规范，适合案例分析。</w:t>
            </w:r>
          </w:p>
        </w:tc>
      </w:tr>
      <w:tr w14:paraId="66EC4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0B565491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中高 / Medium-high</w:t>
            </w:r>
          </w:p>
        </w:tc>
        <w:tc>
          <w:tcPr>
            <w:tcW w:w="3427" w:type="dxa"/>
            <w:vAlign w:val="top"/>
          </w:tcPr>
          <w:p w14:paraId="16049A6E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15%</w:t>
            </w:r>
          </w:p>
        </w:tc>
        <w:tc>
          <w:tcPr>
            <w:tcW w:w="3427" w:type="dxa"/>
            <w:vAlign w:val="top"/>
          </w:tcPr>
          <w:p w14:paraId="605D8CEE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Ch.15–16：搜索五阶段、动态查询、数据可视化图示需回看原 PPT。</w:t>
            </w:r>
          </w:p>
        </w:tc>
      </w:tr>
      <w:tr w14:paraId="23D0C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4A448DF2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中 / Medium</w:t>
            </w:r>
          </w:p>
        </w:tc>
        <w:tc>
          <w:tcPr>
            <w:tcW w:w="3427" w:type="dxa"/>
            <w:vAlign w:val="top"/>
          </w:tcPr>
          <w:p w14:paraId="0E2BB516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15%</w:t>
            </w:r>
          </w:p>
        </w:tc>
        <w:tc>
          <w:tcPr>
            <w:tcW w:w="3427" w:type="dxa"/>
            <w:vAlign w:val="top"/>
          </w:tcPr>
          <w:p w14:paraId="1701BA74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Ch.10 + Ch.14：设备分类/任务类型、显示特性、文档与支持形式，适合定义与应用题。</w:t>
            </w:r>
          </w:p>
        </w:tc>
      </w:tr>
      <w:tr w14:paraId="6A636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top"/>
          </w:tcPr>
          <w:p w14:paraId="15714845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保底综合 / Foundation</w:t>
            </w:r>
          </w:p>
        </w:tc>
        <w:tc>
          <w:tcPr>
            <w:tcW w:w="3427" w:type="dxa"/>
            <w:vAlign w:val="top"/>
          </w:tcPr>
          <w:p w14:paraId="00AEA76C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15%</w:t>
            </w:r>
          </w:p>
        </w:tc>
        <w:tc>
          <w:tcPr>
            <w:tcW w:w="3427" w:type="dxa"/>
            <w:vAlign w:val="top"/>
          </w:tcPr>
          <w:p w14:paraId="11F96279">
            <w:pPr>
              <w:spacing w:after="0" w:line="240" w:lineRule="auto"/>
            </w:pPr>
            <w:r>
              <w:rPr>
                <w:rFonts w:ascii="Aptos" w:hAnsi="Aptos" w:eastAsia="微软雅黑"/>
                <w:b w:val="0"/>
                <w:sz w:val="16"/>
              </w:rPr>
              <w:t>Ch.1–4、7–9 的关键框架：五指标、UU、黄金法则、设计流程、交互风格、VR/AR、表单、语音。</w:t>
            </w:r>
          </w:p>
        </w:tc>
      </w:tr>
    </w:tbl>
    <w:p w14:paraId="72D4BA34">
      <w:pPr>
        <w:spacing w:after="2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2"/>
      </w:tblGrid>
      <w:tr w14:paraId="2F28D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82" w:type="dxa"/>
            <w:shd w:val="clear" w:color="auto" w:fill="EAF3F8"/>
          </w:tcPr>
          <w:p w14:paraId="2C5D6953">
            <w:pPr>
              <w:spacing w:after="0" w:line="240" w:lineRule="auto"/>
            </w:pPr>
            <w:r>
              <w:rPr>
                <w:b/>
                <w:color w:val="1F4E79"/>
              </w:rPr>
              <w:t>期末答题方法 / Final answering method</w:t>
            </w:r>
          </w:p>
          <w:p w14:paraId="439C5BDB">
            <w:pPr>
              <w:pStyle w:val="16"/>
              <w:spacing w:after="0" w:line="240" w:lineRule="auto"/>
            </w:pPr>
            <w:r>
              <w:t>定义题：先给英文术语 + 一句中文定义，再写一个课件中的场景/例子。</w:t>
            </w:r>
          </w:p>
          <w:p w14:paraId="47C951E0">
            <w:pPr>
              <w:pStyle w:val="16"/>
              <w:spacing w:after="0" w:line="240" w:lineRule="auto"/>
            </w:pPr>
            <w:r>
              <w:t>比较题：写共同点、差异、适用用户/任务、优缺点/代价。</w:t>
            </w:r>
          </w:p>
          <w:p w14:paraId="15C6E22D">
            <w:pPr>
              <w:pStyle w:val="16"/>
              <w:spacing w:after="0" w:line="240" w:lineRule="auto"/>
            </w:pPr>
            <w:r>
              <w:t>设计题：用户与情境 → 任务 → 目标/指标 → 规则或理论 → 反馈、错误恢复、可访问性与评价。</w:t>
            </w:r>
          </w:p>
          <w:p w14:paraId="402FD1EC">
            <w:pPr>
              <w:pStyle w:val="16"/>
              <w:spacing w:after="0" w:line="240" w:lineRule="auto"/>
            </w:pPr>
            <w:r>
              <w:t>计算题：写公式、代入、保留单位/百分比、解释“收敛/发散”或“满足/不满足约束”。</w:t>
            </w:r>
          </w:p>
        </w:tc>
      </w:tr>
    </w:tbl>
    <w:p w14:paraId="7B9C677F">
      <w:pPr>
        <w:spacing w:after="20"/>
      </w:pPr>
    </w:p>
    <w:p w14:paraId="358D081E">
      <w:r>
        <w:br w:type="page"/>
      </w:r>
    </w:p>
    <w:p w14:paraId="0E852F64">
      <w:pPr>
        <w:pStyle w:val="3"/>
      </w:pPr>
      <w:r>
        <w:t>考前速查清单 / One-page Checklist</w:t>
      </w:r>
    </w:p>
    <w:p w14:paraId="25651F24">
      <w:pPr>
        <w:spacing w:after="40"/>
      </w:pPr>
      <w:r>
        <w:rPr>
          <w:i/>
          <w:color w:val="5A5A5A"/>
        </w:rPr>
        <w:t>建议最后 30 分钟使用</w:t>
      </w:r>
    </w:p>
    <w:p w14:paraId="79DE352F">
      <w:pPr>
        <w:pStyle w:val="16"/>
        <w:spacing w:after="20"/>
      </w:pPr>
      <w:r>
        <w:rPr>
          <w:b/>
        </w:rPr>
        <w:t xml:space="preserve">□ — </w:t>
      </w:r>
      <w:r>
        <w:t>能准确写出 UI、UID、HCI、Usability/Universality/Usefulness 的定义。</w:t>
      </w:r>
    </w:p>
    <w:p w14:paraId="0A350DD6">
      <w:pPr>
        <w:pStyle w:val="16"/>
        <w:spacing w:after="20"/>
      </w:pPr>
      <w:r>
        <w:rPr>
          <w:b/>
        </w:rPr>
        <w:t xml:space="preserve">□ — </w:t>
      </w:r>
      <w:r>
        <w:t>能解释五项 usability measures，且说明至少两组 tradeoff。</w:t>
      </w:r>
    </w:p>
    <w:p w14:paraId="05C9CB45">
      <w:pPr>
        <w:pStyle w:val="16"/>
        <w:spacing w:after="20"/>
      </w:pPr>
      <w:r>
        <w:rPr>
          <w:b/>
        </w:rPr>
        <w:t xml:space="preserve">□ — </w:t>
      </w:r>
      <w:r>
        <w:t>能区分 individual diversity 与 group/community diversity，并列出无障碍/老年/儿童/国际化设计点。</w:t>
      </w:r>
    </w:p>
    <w:p w14:paraId="7208B064">
      <w:pPr>
        <w:pStyle w:val="16"/>
        <w:spacing w:after="20"/>
      </w:pPr>
      <w:r>
        <w:rPr>
          <w:b/>
        </w:rPr>
        <w:t xml:space="preserve">□ — </w:t>
      </w:r>
      <w:r>
        <w:t>能按层级解释 guideline、principle、theory；背熟八项黄金法则。</w:t>
      </w:r>
    </w:p>
    <w:p w14:paraId="5C29E79D">
      <w:pPr>
        <w:pStyle w:val="16"/>
        <w:spacing w:after="20"/>
      </w:pPr>
      <w:r>
        <w:rPr>
          <w:b/>
        </w:rPr>
        <w:t xml:space="preserve">□ — </w:t>
      </w:r>
      <w:r>
        <w:t>能写四层理论与七阶段行动理论，并说明 visibility / mapping / feedback 的含义。</w:t>
      </w:r>
    </w:p>
    <w:p w14:paraId="3AA28D94">
      <w:pPr>
        <w:pStyle w:val="16"/>
        <w:spacing w:after="20"/>
      </w:pPr>
      <w:r>
        <w:rPr>
          <w:b/>
        </w:rPr>
        <w:t xml:space="preserve">□ — </w:t>
      </w:r>
      <w:r>
        <w:t>能写迭代设计四阶段、三类需求、use case 作用、UCD/participatory/agile 差异。</w:t>
      </w:r>
    </w:p>
    <w:p w14:paraId="27D98748">
      <w:pPr>
        <w:pStyle w:val="16"/>
        <w:spacing w:after="20"/>
      </w:pPr>
      <w:r>
        <w:rPr>
          <w:b/>
        </w:rPr>
        <w:t xml:space="preserve">□ — </w:t>
      </w:r>
      <w:r>
        <w:t>能计算 E=(1+R)(1+D)(1+I)−1，并判断 E&lt;1 是否收敛。</w:t>
      </w:r>
    </w:p>
    <w:p w14:paraId="2C73A828">
      <w:pPr>
        <w:pStyle w:val="16"/>
        <w:spacing w:after="20"/>
      </w:pPr>
      <w:r>
        <w:rPr>
          <w:b/>
        </w:rPr>
        <w:t xml:space="preserve">□ — </w:t>
      </w:r>
      <w:r>
        <w:t>能比较 direct manipulation、navigation、form fill-in、natural language、command language。</w:t>
      </w:r>
    </w:p>
    <w:p w14:paraId="5058BE31">
      <w:pPr>
        <w:pStyle w:val="16"/>
        <w:spacing w:after="20"/>
      </w:pPr>
      <w:r>
        <w:rPr>
          <w:b/>
        </w:rPr>
        <w:t xml:space="preserve">□ — </w:t>
      </w:r>
      <w:r>
        <w:t>能列举表单、错误消息、颜色、窗口管理、SRT 的设计原则。</w:t>
      </w:r>
    </w:p>
    <w:p w14:paraId="4907792D">
      <w:pPr>
        <w:pStyle w:val="16"/>
        <w:spacing w:after="20"/>
      </w:pPr>
      <w:r>
        <w:rPr>
          <w:b/>
        </w:rPr>
        <w:t xml:space="preserve">□ — </w:t>
      </w:r>
      <w:r>
        <w:t>能画出协作 time/space matrix；说明 common ground、privacy、identity/reputation、deviance。</w:t>
      </w:r>
    </w:p>
    <w:p w14:paraId="1B4A3381">
      <w:pPr>
        <w:pStyle w:val="16"/>
        <w:spacing w:after="20"/>
      </w:pPr>
      <w:r>
        <w:rPr>
          <w:b/>
        </w:rPr>
        <w:t xml:space="preserve">□ — </w:t>
      </w:r>
      <w:r>
        <w:t>能写搜索五阶段和 explicit/implicit initiation；回看数据可视化图示。</w:t>
      </w:r>
    </w:p>
    <w:p w14:paraId="1604DA65">
      <w:r>
        <w:br w:type="page"/>
      </w:r>
    </w:p>
    <w:p w14:paraId="504720E9">
      <w:pPr>
        <w:pStyle w:val="3"/>
      </w:pPr>
      <w:r>
        <w:t>来源与资料缺口 / Source Notes and Gaps</w:t>
      </w:r>
    </w:p>
    <w:p w14:paraId="28767E00">
      <w:pPr>
        <w:spacing w:after="40"/>
      </w:pPr>
      <w:r>
        <w:rPr>
          <w:i/>
          <w:color w:val="5A5A5A"/>
        </w:rPr>
        <w:t>便于回查原页</w:t>
      </w:r>
    </w:p>
    <w:p w14:paraId="7E965F45">
      <w:pPr>
        <w:spacing w:after="40"/>
      </w:pPr>
      <w:r>
        <w:t>本资料仅依据用户上传的下列课程材料：chap01_Usability of interactive systems.pdf；chap02_Universal usability.pdf；chap03A_Guidelines.pdf；chap03B_Principles.pdf；chap03C_Theories.pdf；chap04_Design.pptx；chap07_Direct Manipulation.pdf；chap08_Navigation+FFI+DB.pdf；chap09_Languages.pdf；chap10_Devices.pdf；chap11_CC.pdf；chap12_AdvancingUX.pdf；chap14_Documentation.pdf；chap15+16_IS+DV.pdf；Quiz 1 两张图片。</w:t>
      </w:r>
    </w:p>
    <w:p w14:paraId="072EAEE6">
      <w:pPr>
        <w:spacing w:after="40"/>
      </w:pPr>
      <w:r>
        <w:t>缺口：Chapter 5 “Evaluation and the User Experience” 课件未上传；Chapter 13 未在课程安排/上传文件中出现；Chapter 16 的多数幻灯片为图示，文本提取无法完整读出其具体图表内容。因此已明确标注不确定范围，未以常识替代课程原文。</w:t>
      </w:r>
    </w:p>
    <w:sectPr>
      <w:headerReference r:id="rId5" w:type="default"/>
      <w:footerReference r:id="rId6" w:type="default"/>
      <w:pgSz w:w="12240" w:h="15840"/>
      <w:pgMar w:top="893" w:right="979" w:bottom="893" w:left="97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41D75">
    <w:pPr>
      <w:pStyle w:val="24"/>
      <w:jc w:val="center"/>
    </w:pPr>
    <w:r>
      <w:rPr>
        <w:color w:val="646464"/>
        <w:sz w:val="16"/>
      </w:rPr>
      <w:t xml:space="preserve">Based exclusively on the uploaded Spring 2026 teaching slides and Quiz 1 images | </w:t>
    </w:r>
    <w:r>
      <w:rPr>
        <w:color w:val="646464"/>
        <w:sz w:val="16"/>
      </w:rPr>
      <w:fldChar w:fldCharType="begin"/>
    </w:r>
    <w:r>
      <w:rPr>
        <w:color w:val="646464"/>
        <w:sz w:val="16"/>
      </w:rPr>
      <w:instrText xml:space="preserve"> PAGE </w:instrText>
    </w:r>
    <w:r>
      <w:rPr>
        <w:color w:val="64646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C55D6">
    <w:pPr>
      <w:jc w:val="right"/>
    </w:pPr>
    <w:r>
      <w:rPr>
        <w:color w:val="646464"/>
        <w:sz w:val="16"/>
      </w:rPr>
      <w:t>ISE 333 User Interface Development (Design) | Final Review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C40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0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60"/>
      <w:outlineLvl w:val="1"/>
    </w:pPr>
    <w:rPr>
      <w:rFonts w:asciiTheme="majorHAnsi" w:hAnsiTheme="majorHAnsi" w:eastAsiaTheme="majorEastAsia" w:cstheme="majorBidi"/>
      <w:b/>
      <w:bCs/>
      <w:color w:val="2F75B5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00" w:after="40"/>
      <w:outlineLvl w:val="2"/>
    </w:pPr>
    <w:rPr>
      <w:rFonts w:asciiTheme="majorHAnsi" w:hAnsiTheme="majorHAnsi" w:eastAsiaTheme="majorEastAsia" w:cstheme="majorBidi"/>
      <w:b/>
      <w:bCs/>
      <w:color w:val="4F81BD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9631</Words>
  <Characters>19676</Characters>
  <Lines>0</Lines>
  <Paragraphs>0</Paragraphs>
  <TotalTime>3</TotalTime>
  <ScaleCrop>false</ScaleCrop>
  <LinksUpToDate>false</LinksUpToDate>
  <CharactersWithSpaces>21582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lastModifiedBy>CananA</cp:lastModifiedBy>
  <dcterms:modified xsi:type="dcterms:W3CDTF">2026-06-29T13:32:58Z</dcterms:modified>
  <dc:subject>Study guide based on uploaded course slides</dc:subject>
  <dc:title>ISE333 UI 期末复习全知识点 中英双语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eyJoZGlkIjoiMDFhNGVlOTkzYzkyZDQ2M2YwYmQ2NWU4MzVlYTNhMjIiLCJ1c2VySWQiOiIxNTM1ODE2NzA0In0=</vt:lpwstr>
  </property>
  <property fmtid="{D5CDD505-2E9C-101B-9397-08002B2CF9AE}" pid="3" name="KSOProductBuildVer">
    <vt:lpwstr>2052-12.1.0.21915</vt:lpwstr>
  </property>
  <property fmtid="{D5CDD505-2E9C-101B-9397-08002B2CF9AE}" pid="4" name="ICV">
    <vt:lpwstr>7D039ADBC4BE46C6B4D46D0989D0BF65_12</vt:lpwstr>
  </property>
</Properties>
</file>