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67EE1"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ISE333 User Interface Development (Design)</w:t>
      </w:r>
      <w:r>
        <w:rPr>
          <w:rFonts w:ascii="Noto Sans CJK SC" w:hAnsi="Noto Sans CJK SC" w:eastAsia="Noto Sans CJK SC"/>
          <w:b/>
          <w:color w:val="1F4E79"/>
          <w:sz w:val="36"/>
        </w:rPr>
        <w:br w:type="textWrapping"/>
      </w:r>
      <w:r>
        <w:rPr>
          <w:rFonts w:ascii="Noto Sans CJK SC" w:hAnsi="Noto Sans CJK SC" w:eastAsia="Noto Sans CJK SC"/>
          <w:b/>
          <w:color w:val="1F4E79"/>
          <w:sz w:val="36"/>
        </w:rPr>
        <w:t>期中考试卷整理版（含答案）</w:t>
      </w:r>
    </w:p>
    <w:p w14:paraId="62B312F6"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646464"/>
          <w:sz w:val="19"/>
        </w:rPr>
        <w:t>依据课堂讲解投影照片逐题转录；含图像题素材、已展示答案与识别置信标注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4"/>
      </w:tblGrid>
      <w:tr w14:paraId="78F79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4" w:type="dxa"/>
            <w:shd w:val="clear" w:color="auto" w:fill="EAF2F8"/>
          </w:tcPr>
          <w:p w14:paraId="70685AC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使用说明：</w:t>
            </w:r>
            <w:r>
              <w:rPr>
                <w:rFonts w:ascii="Noto Sans CJK SC" w:hAnsi="Noto Sans CJK SC" w:eastAsia="Noto Sans CJK SC"/>
                <w:sz w:val="19"/>
              </w:rPr>
              <w:t>本文件只整理照片中可辨认或可由同页答案/课程材料可靠补全的题目。对受彩色噪点、遮挡或截边影响的内容，以“[不清]”标记；由课程知识推断而非直接可见的答案，明确标注“推断”。未出现在照片中的题目编号保留但不虚构。</w:t>
            </w:r>
          </w:p>
        </w:tc>
      </w:tr>
    </w:tbl>
    <w:p w14:paraId="546453F9"/>
    <w:p w14:paraId="12F37235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题目覆盖概览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3485"/>
        <w:gridCol w:w="3485"/>
      </w:tblGrid>
      <w:tr w14:paraId="51B4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shd w:val="clear" w:color="auto" w:fill="D9EAF7"/>
            <w:vAlign w:val="center"/>
          </w:tcPr>
          <w:p w14:paraId="5C0DB6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部分</w:t>
            </w:r>
          </w:p>
        </w:tc>
        <w:tc>
          <w:tcPr>
            <w:tcW w:w="3485" w:type="dxa"/>
            <w:shd w:val="clear" w:color="auto" w:fill="D9EAF7"/>
            <w:vAlign w:val="center"/>
          </w:tcPr>
          <w:p w14:paraId="5E9DA4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照片中可整理内容</w:t>
            </w:r>
          </w:p>
        </w:tc>
        <w:tc>
          <w:tcPr>
            <w:tcW w:w="3485" w:type="dxa"/>
            <w:shd w:val="clear" w:color="auto" w:fill="D9EAF7"/>
            <w:vAlign w:val="center"/>
          </w:tcPr>
          <w:p w14:paraId="4BEDE1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 w14:paraId="1F52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vAlign w:val="center"/>
          </w:tcPr>
          <w:p w14:paraId="746F15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 选择题</w:t>
            </w:r>
          </w:p>
        </w:tc>
        <w:tc>
          <w:tcPr>
            <w:tcW w:w="3485" w:type="dxa"/>
            <w:vAlign w:val="center"/>
          </w:tcPr>
          <w:p w14:paraId="7FDE4E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I.2–I.11、I.14–I.15；I.8局部文字不清</w:t>
            </w:r>
          </w:p>
        </w:tc>
        <w:tc>
          <w:tcPr>
            <w:tcW w:w="3485" w:type="dxa"/>
            <w:vAlign w:val="center"/>
          </w:tcPr>
          <w:p w14:paraId="5D7A55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大部分可恢复</w:t>
            </w:r>
          </w:p>
        </w:tc>
      </w:tr>
      <w:tr w14:paraId="73B2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vAlign w:val="center"/>
          </w:tcPr>
          <w:p w14:paraId="03A7FA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II. 填空/匹配</w:t>
            </w:r>
          </w:p>
        </w:tc>
        <w:tc>
          <w:tcPr>
            <w:tcW w:w="3485" w:type="dxa"/>
            <w:vAlign w:val="center"/>
          </w:tcPr>
          <w:p w14:paraId="10150A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II.1交互风格、II.2 FPIDP、II.3设计框架</w:t>
            </w:r>
          </w:p>
        </w:tc>
        <w:tc>
          <w:tcPr>
            <w:tcW w:w="3485" w:type="dxa"/>
            <w:vAlign w:val="center"/>
          </w:tcPr>
          <w:p w14:paraId="534BEF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可恢复，含图示</w:t>
            </w:r>
          </w:p>
        </w:tc>
      </w:tr>
      <w:tr w14:paraId="227A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vAlign w:val="center"/>
          </w:tcPr>
          <w:p w14:paraId="7219FA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III.</w:t>
            </w:r>
          </w:p>
        </w:tc>
        <w:tc>
          <w:tcPr>
            <w:tcW w:w="3485" w:type="dxa"/>
            <w:vAlign w:val="center"/>
          </w:tcPr>
          <w:p w14:paraId="57E2EA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未在已上传照片中发现可辨认题干</w:t>
            </w:r>
          </w:p>
        </w:tc>
        <w:tc>
          <w:tcPr>
            <w:tcW w:w="3485" w:type="dxa"/>
            <w:vAlign w:val="center"/>
          </w:tcPr>
          <w:p w14:paraId="120B77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保留缺口，不补造</w:t>
            </w:r>
          </w:p>
        </w:tc>
      </w:tr>
      <w:tr w14:paraId="297B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5" w:type="dxa"/>
            <w:vAlign w:val="center"/>
          </w:tcPr>
          <w:p w14:paraId="1FBB01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IV. 分析与计算</w:t>
            </w:r>
          </w:p>
        </w:tc>
        <w:tc>
          <w:tcPr>
            <w:tcW w:w="3485" w:type="dxa"/>
            <w:vAlign w:val="center"/>
          </w:tcPr>
          <w:p w14:paraId="5339427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IV.1、IV.2、IV.3三角形像素覆盖计算</w:t>
            </w:r>
          </w:p>
        </w:tc>
        <w:tc>
          <w:tcPr>
            <w:tcW w:w="3485" w:type="dxa"/>
            <w:vAlign w:val="center"/>
          </w:tcPr>
          <w:p w14:paraId="5982F1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可完整恢复，含图示</w:t>
            </w:r>
          </w:p>
        </w:tc>
      </w:tr>
    </w:tbl>
    <w:p w14:paraId="06FF405D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I. Multiple-choice Questions / 选择题</w:t>
      </w:r>
    </w:p>
    <w:p w14:paraId="212362EE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  </w:t>
      </w:r>
      <w:r>
        <w:rPr>
          <w:rFonts w:ascii="Noto Sans CJK SC" w:hAnsi="Noto Sans CJK SC" w:eastAsia="Noto Sans CJK SC"/>
          <w:sz w:val="21"/>
        </w:rPr>
        <w:t>未在照片中拍到题干或答案。</w:t>
      </w:r>
    </w:p>
    <w:p w14:paraId="3172DBDC">
      <w:r>
        <w:rPr>
          <w:rFonts w:ascii="Noto Sans CJK SC" w:hAnsi="Noto Sans CJK SC" w:eastAsia="Noto Sans CJK SC"/>
          <w:b w:val="0"/>
          <w:color w:val="B4501E"/>
          <w:sz w:val="18"/>
        </w:rPr>
        <w:t>识别说明：缺失：不根据课程内容虚构题目。</w:t>
      </w:r>
    </w:p>
    <w:p w14:paraId="53348086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I.2  </w:t>
      </w:r>
      <w:r>
        <w:rPr>
          <w:rFonts w:ascii="Noto Sans CJK SC" w:hAnsi="Noto Sans CJK SC" w:eastAsia="Noto Sans CJK SC"/>
          <w:sz w:val="21"/>
        </w:rPr>
        <w:t>The three-level organization of UID knowledge does not contain _______.</w:t>
      </w:r>
    </w:p>
    <w:p w14:paraId="4C1AA92D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UID Guidelines</w:t>
      </w:r>
    </w:p>
    <w:p w14:paraId="07CD3B30">
      <w:pPr>
        <w:spacing w:after="20"/>
        <w:ind w:left="346"/>
        <w:rPr>
          <w:rFonts w:hint="default" w:eastAsia="宋体"/>
          <w:lang w:val="en-US" w:eastAsia="zh-CN"/>
        </w:rPr>
      </w:pPr>
      <w:r>
        <w:rPr>
          <w:rFonts w:ascii="Noto Sans CJK SC" w:hAnsi="Noto Sans CJK SC" w:eastAsia="Noto Sans CJK SC"/>
          <w:sz w:val="19"/>
        </w:rPr>
        <w:t>B. UID Principles</w:t>
      </w:r>
    </w:p>
    <w:p w14:paraId="76792246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UID Theories</w:t>
      </w:r>
    </w:p>
    <w:p w14:paraId="24AF608C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UID Laws</w:t>
      </w:r>
    </w:p>
    <w:p w14:paraId="518277B0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D. UID Laws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3BEA87DE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I.3  </w:t>
      </w:r>
      <w:r>
        <w:rPr>
          <w:rFonts w:ascii="Noto Sans CJK SC" w:hAnsi="Noto Sans CJK SC" w:eastAsia="Noto Sans CJK SC"/>
          <w:sz w:val="21"/>
        </w:rPr>
        <w:t>Which of the following things do not belong to usability motivations?</w:t>
      </w:r>
    </w:p>
    <w:p w14:paraId="08FDFCAD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Consumer electronics, e-commerce, and social media</w:t>
      </w:r>
    </w:p>
    <w:p w14:paraId="7671B69C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Professional environments and sociotechnical (“socially-technical fused”) systems</w:t>
      </w:r>
    </w:p>
    <w:p w14:paraId="5993C862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Fully-automated industrial manufacturing and agricultural production</w:t>
      </w:r>
    </w:p>
    <w:p w14:paraId="314E538A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Exploratory, creative, and collaborative interfaces</w:t>
      </w:r>
    </w:p>
    <w:p w14:paraId="0C244551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C. Fully-automated industrial manufacturing and agricultural production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652177CF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I.4  </w:t>
      </w:r>
      <w:r>
        <w:rPr>
          <w:rFonts w:ascii="Noto Sans CJK SC" w:hAnsi="Noto Sans CJK SC" w:eastAsia="Noto Sans CJK SC"/>
          <w:sz w:val="21"/>
        </w:rPr>
        <w:t>______ can be loosely defined as the outcome or the process of creating specifications for synthetic artifacts, such as products, services, and processes?</w:t>
      </w:r>
    </w:p>
    <w:p w14:paraId="35F86492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Deployment</w:t>
      </w:r>
    </w:p>
    <w:p w14:paraId="359EF0B6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Design</w:t>
      </w:r>
    </w:p>
    <w:p w14:paraId="49F4ECF3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Integration &amp; testing</w:t>
      </w:r>
    </w:p>
    <w:p w14:paraId="0468198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Maintenance</w:t>
      </w:r>
    </w:p>
    <w:p w14:paraId="7AE95E88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B. Design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6E0DDE04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I.5  </w:t>
      </w:r>
      <w:r>
        <w:rPr>
          <w:rFonts w:ascii="Noto Sans CJK SC" w:hAnsi="Noto Sans CJK SC" w:eastAsia="Noto Sans CJK SC"/>
          <w:sz w:val="21"/>
        </w:rPr>
        <w:t>Which of the following statement is wrong?</w:t>
      </w:r>
    </w:p>
    <w:p w14:paraId="23D70839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The interdisciplinary science of human-computer interaction (HCI) involves experimental psychology.</w:t>
      </w:r>
    </w:p>
    <w:p w14:paraId="11ECC08D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Although life-changing shifts were made possible, researchers and UIDers rarely harnessed technology to serve human needs.</w:t>
      </w:r>
    </w:p>
    <w:p w14:paraId="45B27DA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Experts in human factors or ergonomics have contributed to UID.</w:t>
      </w:r>
    </w:p>
    <w:p w14:paraId="0FAF039C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Knowledge in the context of UID is not purely management-style knowledge.</w:t>
      </w:r>
    </w:p>
    <w:p w14:paraId="39E3B5BF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B.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〔识别说明：已由投影答案明确显示；投影注释：Researchers and UIDers did harness technology to serve human needs a lot.〕</w:t>
      </w:r>
    </w:p>
    <w:p w14:paraId="407F1246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I.6  </w:t>
      </w:r>
      <w:r>
        <w:rPr>
          <w:rFonts w:ascii="Noto Sans CJK SC" w:hAnsi="Noto Sans CJK SC" w:eastAsia="Noto Sans CJK SC"/>
          <w:sz w:val="21"/>
        </w:rPr>
        <w:t>Which of the following statement is not related to operational characteristics of the UID process?</w:t>
      </w:r>
    </w:p>
    <w:p w14:paraId="2D678DA9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Design is a dynamic process and cannot be adequately represented statically.</w:t>
      </w:r>
    </w:p>
    <w:p w14:paraId="1B0804F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The design process is unpredictable and radically transformational, involving the development of partial and interim solutions that may ultimately play no role in the final outcome.</w:t>
      </w:r>
    </w:p>
    <w:p w14:paraId="6CCA45E7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Design intrinsically involves discovery of new goals.</w:t>
      </w:r>
    </w:p>
    <w:p w14:paraId="71EABE7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The design process is hierarchical and can be organized in a strictly top-down way.</w:t>
      </w:r>
    </w:p>
    <w:p w14:paraId="602AD10D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D.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76E96432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I.7  </w:t>
      </w:r>
      <w:r>
        <w:rPr>
          <w:rFonts w:ascii="Noto Sans CJK SC" w:hAnsi="Noto Sans CJK SC" w:eastAsia="Noto Sans CJK SC"/>
          <w:sz w:val="21"/>
        </w:rPr>
        <w:t>______ do not belong to the requirements analysis of the FPIDP?</w:t>
      </w:r>
    </w:p>
    <w:p w14:paraId="23DF78F5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Budget requirements</w:t>
      </w:r>
    </w:p>
    <w:p w14:paraId="6AC57A3C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Functional requirements</w:t>
      </w:r>
    </w:p>
    <w:p w14:paraId="55592B1A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Non-functional requirements</w:t>
      </w:r>
    </w:p>
    <w:p w14:paraId="1FB8D4FF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User experience (UX) requirements</w:t>
      </w:r>
    </w:p>
    <w:p w14:paraId="6DA0456D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A. Budget requirements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19A8EAFA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I.8  </w:t>
      </w:r>
      <w:r>
        <w:rPr>
          <w:rFonts w:ascii="Noto Sans CJK SC" w:hAnsi="Noto Sans CJK SC" w:eastAsia="Noto Sans CJK SC"/>
          <w:sz w:val="21"/>
        </w:rPr>
        <w:t>Which of the following statement is wrong?</w:t>
      </w:r>
    </w:p>
    <w:p w14:paraId="7F46E830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[前半句受严重噪点影响；可辨部分：… stairs / branches / handrails / infrastructure / administration hall / languages can be regarded as UI in their respective systems (“existing environments”).]</w:t>
      </w:r>
    </w:p>
    <w:p w14:paraId="2BD03D6E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Food is one domain in which the core technology had not changed, but it was the UI that made a difference / enhanced the influence of the domain.</w:t>
      </w:r>
    </w:p>
    <w:p w14:paraId="79CB6F93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UIDers have accumulated a wealth of experience and researchers have produced a growing body of empirical evidence and theories, all of which can be organized into three levels.</w:t>
      </w:r>
    </w:p>
    <w:p w14:paraId="0EBEDE19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Among the three levels of UID knowledge, theories are at the lowest level.</w:t>
      </w:r>
    </w:p>
    <w:p w14:paraId="3A743A3B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D.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〔识别说明：答案在投影中可见；A、B个别词受噪点遮挡，按可见文字转录。〕</w:t>
      </w:r>
    </w:p>
    <w:p w14:paraId="52D585FC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I.9  </w:t>
      </w:r>
      <w:r>
        <w:rPr>
          <w:rFonts w:ascii="Noto Sans CJK SC" w:hAnsi="Noto Sans CJK SC" w:eastAsia="Noto Sans CJK SC"/>
          <w:sz w:val="21"/>
        </w:rPr>
        <w:t>For UIs dedicated to professional environments, the two usability measures _______ and rate of errors by users are normally cared more than the others?</w:t>
      </w:r>
    </w:p>
    <w:p w14:paraId="1B92D656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Time to learn</w:t>
      </w:r>
    </w:p>
    <w:p w14:paraId="6C1B0357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Retention over time</w:t>
      </w:r>
    </w:p>
    <w:p w14:paraId="2A08B3E1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Speed of performance</w:t>
      </w:r>
    </w:p>
    <w:p w14:paraId="1F3552CD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Subjective satisfaction</w:t>
      </w:r>
    </w:p>
    <w:p w14:paraId="7ECA4B68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C. Speed of performance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35FB172D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I.10  </w:t>
      </w:r>
      <w:r>
        <w:rPr>
          <w:rFonts w:ascii="Noto Sans CJK SC" w:hAnsi="Noto Sans CJK SC" w:eastAsia="Noto Sans CJK SC"/>
          <w:sz w:val="21"/>
        </w:rPr>
        <w:t>Which of the following statement is wrong?</w:t>
      </w:r>
    </w:p>
    <w:p w14:paraId="67EC6B7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UIs are very much synthetic and they are artifacts that decidedly do not occur in nature.</w:t>
      </w:r>
    </w:p>
    <w:p w14:paraId="7B22B68F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Early computer applications were designed by programmers to be highly functional for the programmers themselves as well as non-technical audience for computers.</w:t>
      </w:r>
    </w:p>
    <w:p w14:paraId="5E2FEA40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The current generation of users are less dedicated to the technology itself, but are more oriented toward their professional or recreational needs.</w:t>
      </w:r>
    </w:p>
    <w:p w14:paraId="7DA12ECD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Although science and technology have been progressing rapidly in modern era, we are still far from having a “Tech Brain”.</w:t>
      </w:r>
    </w:p>
    <w:p w14:paraId="38AB7090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B.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43386D55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I.11  </w:t>
      </w:r>
      <w:r>
        <w:rPr>
          <w:rFonts w:ascii="Noto Sans CJK SC" w:hAnsi="Noto Sans CJK SC" w:eastAsia="Noto Sans CJK SC"/>
          <w:sz w:val="21"/>
        </w:rPr>
        <w:t>Which of the following is related to group/community diversity?</w:t>
      </w:r>
    </w:p>
    <w:p w14:paraId="6F8F1F05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Diverse cognitive abilities</w:t>
      </w:r>
    </w:p>
    <w:p w14:paraId="2FE065A8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Personality differences</w:t>
      </w:r>
    </w:p>
    <w:p w14:paraId="5A293F60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Cultural &amp; national differences</w:t>
      </w:r>
    </w:p>
    <w:p w14:paraId="378A97EB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Variations in physical abilities</w:t>
      </w:r>
    </w:p>
    <w:p w14:paraId="0AFF4EEE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C. Cultural &amp; national differences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〔识别说明：基于课程“Group/Community Diversity”内容推断；照片未显示该题答案行。〕</w:t>
      </w:r>
    </w:p>
    <w:p w14:paraId="3181418C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I.12–I.13  </w:t>
      </w:r>
      <w:r>
        <w:rPr>
          <w:rFonts w:ascii="Noto Sans CJK SC" w:hAnsi="Noto Sans CJK SC" w:eastAsia="Noto Sans CJK SC"/>
          <w:sz w:val="21"/>
        </w:rPr>
        <w:t>未发现足够完整且可唯一确认的题干照片。</w:t>
      </w:r>
    </w:p>
    <w:p w14:paraId="22FBE0F1">
      <w:r>
        <w:rPr>
          <w:rFonts w:ascii="Noto Sans CJK SC" w:hAnsi="Noto Sans CJK SC" w:eastAsia="Noto Sans CJK SC"/>
          <w:b w:val="0"/>
          <w:color w:val="B4501E"/>
          <w:sz w:val="18"/>
        </w:rPr>
        <w:t>识别说明：缺失：避免将重复投影页误判为新题。</w:t>
      </w:r>
    </w:p>
    <w:p w14:paraId="1637877D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I.14  </w:t>
      </w:r>
      <w:r>
        <w:rPr>
          <w:rFonts w:ascii="Noto Sans CJK SC" w:hAnsi="Noto Sans CJK SC" w:eastAsia="Noto Sans CJK SC"/>
          <w:sz w:val="21"/>
        </w:rPr>
        <w:t>Which of the following statement is not true about use cases?</w:t>
      </w:r>
    </w:p>
    <w:p w14:paraId="0CD9EB6E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The use case is a concept from software engineering, intended for writing functional requirements.</w:t>
      </w:r>
    </w:p>
    <w:p w14:paraId="3929B8B6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They are formalized scenarios that capture operations between the actor and the system in a step-by-step manner.</w:t>
      </w:r>
    </w:p>
    <w:p w14:paraId="237405B4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The set of UI functionalities should simply be a sum of its use cases and no functionality should be implemented that does not explicitly support at least one use case.</w:t>
      </w:r>
    </w:p>
    <w:p w14:paraId="2D3F10D4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Use cases do not give any recipe for evaluation of the UI system.</w:t>
      </w:r>
    </w:p>
    <w:p w14:paraId="2E58A075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D.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31848B78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I.15  </w:t>
      </w:r>
      <w:r>
        <w:rPr>
          <w:rFonts w:ascii="Noto Sans CJK SC" w:hAnsi="Noto Sans CJK SC" w:eastAsia="Noto Sans CJK SC"/>
          <w:sz w:val="21"/>
        </w:rPr>
        <w:t>______ do not belong to principles of UID?</w:t>
      </w:r>
    </w:p>
    <w:p w14:paraId="6343E87B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A. Follow a high-level widely applicable framework</w:t>
      </w:r>
    </w:p>
    <w:p w14:paraId="6D4EA145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B. Determine users’ skill levels</w:t>
      </w:r>
    </w:p>
    <w:p w14:paraId="691E6F15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C. Id</w:t>
      </w:r>
      <w:bookmarkStart w:id="0" w:name="_GoBack"/>
      <w:r>
        <w:rPr>
          <w:rFonts w:ascii="Noto Sans CJK SC" w:hAnsi="Noto Sans CJK SC" w:eastAsia="Noto Sans CJK SC"/>
          <w:sz w:val="19"/>
        </w:rPr>
        <w:t>entify the tasks and choose an interaction style</w:t>
      </w:r>
      <w:bookmarkEnd w:id="0"/>
    </w:p>
    <w:p w14:paraId="10DAEA35">
      <w:pPr>
        <w:spacing w:after="20"/>
        <w:ind w:left="346"/>
      </w:pPr>
      <w:r>
        <w:rPr>
          <w:rFonts w:ascii="Noto Sans CJK SC" w:hAnsi="Noto Sans CJK SC" w:eastAsia="Noto Sans CJK SC"/>
          <w:sz w:val="19"/>
        </w:rPr>
        <w:t>D. Ensure human control while increasing automation</w:t>
      </w:r>
    </w:p>
    <w:p w14:paraId="73A3F61F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A. Follow a high-level widely applicable framework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〔识别说明：已由投影答案明确显示〕</w:t>
      </w:r>
    </w:p>
    <w:p w14:paraId="519E2D9D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II. Fill-in / Matching Questions</w:t>
      </w:r>
    </w:p>
    <w:p w14:paraId="23B1B6F2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II.1 [4 pts]  </w:t>
      </w:r>
      <w:r>
        <w:rPr>
          <w:rFonts w:ascii="Noto Sans CJK SC" w:hAnsi="Noto Sans CJK SC" w:eastAsia="Noto Sans CJK SC"/>
          <w:sz w:val="21"/>
        </w:rPr>
        <w:t>UI interaction styles include direct manipulation, navigation (menu selection), form fill-in, natural language, and command language. Given the following UI illustrations, fill their corresponding interaction styles respectively.</w:t>
      </w:r>
    </w:p>
    <w:p w14:paraId="341BF2AC">
      <w:pPr>
        <w:jc w:val="center"/>
      </w:pPr>
      <w:r>
        <w:drawing>
          <wp:inline distT="0" distB="0" distL="114300" distR="114300">
            <wp:extent cx="6172200" cy="350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8C03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依图从左到右：form fill-in；command language；direct manipulation；navigation (menu selection)。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〔识别说明：投影答案行可见；第4格因人物遮挡，但“naviga… sele…”与课程五种交互风格可唯一确认。〕</w:t>
      </w:r>
    </w:p>
    <w:p w14:paraId="245F4B8B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II.2 [4 pts]  </w:t>
      </w:r>
      <w:r>
        <w:rPr>
          <w:rFonts w:ascii="Noto Sans CJK SC" w:hAnsi="Noto Sans CJK SC" w:eastAsia="Noto Sans CJK SC"/>
          <w:sz w:val="21"/>
        </w:rPr>
        <w:t>Consider the four-phase iterative design/development process (FPIDP), the four phases are:</w:t>
      </w:r>
    </w:p>
    <w:p w14:paraId="3B269FC6">
      <w:pPr>
        <w:jc w:val="center"/>
      </w:pPr>
      <w:r>
        <w:drawing>
          <wp:inline distT="0" distB="0" distL="114300" distR="114300">
            <wp:extent cx="6172200" cy="27501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51E7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Phase 1: Requirements analysis；Phase 2: Preliminary and detailed design；Phase 3: Build and implementation；Phase 4: Evaluation。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〔识别说明：投影表格可辨认；由课程设计流程内容复核。〕</w:t>
      </w:r>
    </w:p>
    <w:p w14:paraId="7FCE4461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II.3 [2 pts]  </w:t>
      </w:r>
      <w:r>
        <w:rPr>
          <w:rFonts w:ascii="Noto Sans CJK SC" w:hAnsi="Noto Sans CJK SC" w:eastAsia="Noto Sans CJK SC"/>
          <w:sz w:val="21"/>
        </w:rPr>
        <w:t>Design frameworks include user-centered design, participatory design, and agile design. Given the following enterprise descriptions, fill their corresponding design frameworks respectively.</w:t>
      </w:r>
    </w:p>
    <w:p w14:paraId="3D7A2AA2">
      <w:pPr>
        <w:jc w:val="center"/>
      </w:pPr>
      <w:r>
        <w:drawing>
          <wp:inline distT="0" distB="0" distL="114300" distR="114300">
            <wp:extent cx="6172200" cy="2967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C033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左列企业：agile design；右列企业：participatory design。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〔识别说明：投影答案行可见；企业描述中局部词受拍摄噪点影响，不影响匹配答案。〕</w:t>
      </w:r>
    </w:p>
    <w:p w14:paraId="3B69DFC9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III. [Not captured / 未拍到]</w:t>
      </w:r>
    </w:p>
    <w:p w14:paraId="7CAFE0BD">
      <w:pPr>
        <w:spacing w:before="0" w:after="60"/>
      </w:pPr>
      <w:r>
        <w:rPr>
          <w:rFonts w:ascii="Noto Sans CJK SC" w:hAnsi="Noto Sans CJK SC" w:eastAsia="Noto Sans CJK SC"/>
          <w:b w:val="0"/>
          <w:color w:val="825014"/>
          <w:sz w:val="20"/>
        </w:rPr>
        <w:t>已上传图片中未找到第 III 部分的可辨题干或答案，因此本整理版不编造该部分内容。</w:t>
      </w:r>
    </w:p>
    <w:p w14:paraId="3FB8800C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IV. Analytical Computations and Clarifications / 分析计算题</w:t>
      </w:r>
    </w:p>
    <w:p w14:paraId="5BD84739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IV.1 [5 pts]  </w:t>
      </w:r>
      <w:r>
        <w:rPr>
          <w:rFonts w:ascii="Noto Sans CJK SC" w:hAnsi="Noto Sans CJK SC" w:eastAsia="Noto Sans CJK SC"/>
          <w:sz w:val="21"/>
        </w:rPr>
        <w:t>A director observes that the actual project duration needed to achieve 99% project objective is always about five times the open-loop period. Estimate the OL error rate of the company’s working system? Show details.</w:t>
      </w:r>
    </w:p>
    <w:p w14:paraId="5A4BE6F0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OL error rate: E^5 = 1 − 99% = 0.01  ⇒  E = 0.01^(1/5) = 39.81%.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〔识别说明：已由投影答案明确显示。〕</w:t>
      </w:r>
    </w:p>
    <w:p w14:paraId="07A4449C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IV.2 [5 pts]  </w:t>
      </w:r>
      <w:r>
        <w:rPr>
          <w:rFonts w:ascii="Noto Sans CJK SC" w:hAnsi="Noto Sans CJK SC" w:eastAsia="Noto Sans CJK SC"/>
          <w:sz w:val="21"/>
        </w:rPr>
        <w:t>(Following IV.1.) The director also observes that both the PDD error rate and the BI error rate are about 10%. Estimate the RA error rate? Show details.</w:t>
      </w:r>
    </w:p>
    <w:p w14:paraId="0762C653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E = (1 + R)(1 + D)(1 + I) − 1  ⇒  R = (1 + E)/((1 + D)(1 + I)) − 1 = (1 + 0.3981)/(1.1 × 1.1) − 1 = 15.55%.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〔识别说明：已由投影答案明确显示。〕</w:t>
      </w:r>
    </w:p>
    <w:p w14:paraId="6C299855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IV.3  </w:t>
      </w:r>
      <w:r>
        <w:rPr>
          <w:rFonts w:ascii="Noto Sans CJK SC" w:hAnsi="Noto Sans CJK SC" w:eastAsia="Noto Sans CJK SC"/>
          <w:sz w:val="21"/>
        </w:rPr>
        <w:t>Given a triangle with its shape characterized by the illustrated corner points A, B, and C. For visualization in a graphical UI, A, B, and C should be located at the pixel (500,400), the pixel (200,100), and the pixel (600,100) respectively. (1) For pixels internal to the triangle, their pixel value should be 0 (black). (2) For pixels external to the triangle, their pixel value should be 255 (white). (3) For a boundary pixel (partially internal and partially external to the triangle), its pixel value should be a weighted average according to the areas of its black and white parts: pixel value = (black area ratio)×(black value) + (white area ratio)×(white value).</w:t>
      </w:r>
    </w:p>
    <w:p w14:paraId="39EC6DF2">
      <w:pPr>
        <w:jc w:val="center"/>
      </w:pPr>
      <w:r>
        <w:drawing>
          <wp:inline distT="0" distB="0" distL="114300" distR="114300">
            <wp:extent cx="1873885" cy="295783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29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DE47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IV.3-a [5 pts]  </w:t>
      </w:r>
      <w:r>
        <w:rPr>
          <w:rFonts w:ascii="Noto Sans CJK SC" w:hAnsi="Noto Sans CJK SC" w:eastAsia="Noto Sans CJK SC"/>
          <w:sz w:val="21"/>
        </w:rPr>
        <w:t>What is the pixel value of the pixel (300,300)? Show details.</w:t>
      </w:r>
    </w:p>
    <w:p w14:paraId="59C9EA9C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255. Since 200 &lt; 300 &lt; 500, (300,300) lies horizontally between B and A. Compare slopes: (300−100)/(300−200) = 2 &gt; (400−100)/(500−200) = 1, so (300,300) is above edge AB and external to the triangle.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〔识别说明：已由投影答案明确显示。〕</w:t>
      </w:r>
    </w:p>
    <w:p w14:paraId="50ECE20A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IV.3-b [5 pts]  </w:t>
      </w:r>
      <w:r>
        <w:rPr>
          <w:rFonts w:ascii="Noto Sans CJK SC" w:hAnsi="Noto Sans CJK SC" w:eastAsia="Noto Sans CJK SC"/>
          <w:sz w:val="21"/>
        </w:rPr>
        <w:t>What is the pixel value of the pixel (500,200)? Show details.</w:t>
      </w:r>
    </w:p>
    <w:p w14:paraId="3F19CF85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0. B and C have y = 100, so BC is horizontal; 100 &lt; 200, hence (500,200) is above BC. Also (200−100)/(500−200) = 1/3 &lt; (400−100)/(500−200) = 1, so it is below AB. Therefore it is inside the triangle.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〔识别说明：已由投影答案明确显示。〕</w:t>
      </w:r>
    </w:p>
    <w:p w14:paraId="0F8E197D">
      <w:pPr>
        <w:spacing w:before="140" w:after="40"/>
      </w:pPr>
      <w:r>
        <w:rPr>
          <w:rFonts w:ascii="Noto Sans CJK SC" w:hAnsi="Noto Sans CJK SC" w:eastAsia="Noto Sans CJK SC"/>
          <w:b/>
          <w:color w:val="1F4E79"/>
          <w:sz w:val="22"/>
        </w:rPr>
        <w:t xml:space="preserve">IV.3-c [5 pts]  </w:t>
      </w:r>
      <w:r>
        <w:rPr>
          <w:rFonts w:ascii="Noto Sans CJK SC" w:hAnsi="Noto Sans CJK SC" w:eastAsia="Noto Sans CJK SC"/>
          <w:sz w:val="21"/>
        </w:rPr>
        <w:t>What is the pixel value of the pixel (550,250)? Show details.</w:t>
      </w:r>
    </w:p>
    <w:p w14:paraId="7C709CB4">
      <w:pPr>
        <w:spacing w:after="100"/>
      </w:pPr>
      <w:r>
        <w:rPr>
          <w:rFonts w:ascii="Noto Sans CJK SC" w:hAnsi="Noto Sans CJK SC" w:eastAsia="Noto Sans CJK SC"/>
          <w:b/>
          <w:color w:val="006633"/>
          <w:sz w:val="20"/>
        </w:rPr>
        <w:t>答案：</w:t>
      </w:r>
      <w:r>
        <w:rPr>
          <w:rFonts w:ascii="Noto Sans CJK SC" w:hAnsi="Noto Sans CJK SC" w:eastAsia="Noto Sans CJK SC"/>
          <w:b w:val="0"/>
          <w:color w:val="006633"/>
          <w:sz w:val="20"/>
        </w:rPr>
        <w:t>128. (250−100)/(550−500) = 3 = (400−100)/(600−500) = 3, so the center of the pixel square is exactly on edge AC. By geometric symmetry, black and white areas are each 0.5: 0.5×0 + 0.5×255 = 127.5, rounded to 128.</w:t>
      </w:r>
      <w:r>
        <w:rPr>
          <w:rFonts w:ascii="Noto Sans CJK SC" w:hAnsi="Noto Sans CJK SC" w:eastAsia="Noto Sans CJK SC"/>
          <w:b w:val="0"/>
          <w:color w:val="6E6E6E"/>
          <w:sz w:val="17"/>
        </w:rPr>
        <w:t xml:space="preserve"> 〔识别说明：已由投影答案明确显示；投影特别说明：image pixel values are integers。〕</w:t>
      </w:r>
    </w:p>
    <w:p w14:paraId="08C0EF38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答案速览 / Answer Key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2613"/>
        <w:gridCol w:w="2613"/>
        <w:gridCol w:w="2613"/>
      </w:tblGrid>
      <w:tr w14:paraId="70B17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shd w:val="clear" w:color="auto" w:fill="D9EAF7"/>
            <w:vAlign w:val="center"/>
          </w:tcPr>
          <w:p w14:paraId="70B391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题号</w:t>
            </w:r>
          </w:p>
        </w:tc>
        <w:tc>
          <w:tcPr>
            <w:tcW w:w="2613" w:type="dxa"/>
            <w:shd w:val="clear" w:color="auto" w:fill="D9EAF7"/>
            <w:vAlign w:val="center"/>
          </w:tcPr>
          <w:p w14:paraId="73E46D5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答案</w:t>
            </w:r>
          </w:p>
        </w:tc>
        <w:tc>
          <w:tcPr>
            <w:tcW w:w="2613" w:type="dxa"/>
            <w:shd w:val="clear" w:color="auto" w:fill="D9EAF7"/>
            <w:vAlign w:val="center"/>
          </w:tcPr>
          <w:p w14:paraId="157A9E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题号</w:t>
            </w:r>
          </w:p>
        </w:tc>
        <w:tc>
          <w:tcPr>
            <w:tcW w:w="2613" w:type="dxa"/>
            <w:shd w:val="clear" w:color="auto" w:fill="D9EAF7"/>
            <w:vAlign w:val="center"/>
          </w:tcPr>
          <w:p w14:paraId="4851D2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答案</w:t>
            </w:r>
          </w:p>
        </w:tc>
      </w:tr>
      <w:tr w14:paraId="6961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7FF871D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I.2</w:t>
            </w:r>
          </w:p>
        </w:tc>
        <w:tc>
          <w:tcPr>
            <w:tcW w:w="2613" w:type="dxa"/>
            <w:vAlign w:val="center"/>
          </w:tcPr>
          <w:p w14:paraId="5F2E58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w="2613" w:type="dxa"/>
            <w:vAlign w:val="center"/>
          </w:tcPr>
          <w:p w14:paraId="6B8E622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I.3</w:t>
            </w:r>
          </w:p>
        </w:tc>
        <w:tc>
          <w:tcPr>
            <w:tcW w:w="2613" w:type="dxa"/>
            <w:vAlign w:val="center"/>
          </w:tcPr>
          <w:p w14:paraId="4930E2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 w14:paraId="0D3A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29C48D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I.4</w:t>
            </w:r>
          </w:p>
        </w:tc>
        <w:tc>
          <w:tcPr>
            <w:tcW w:w="2613" w:type="dxa"/>
            <w:vAlign w:val="center"/>
          </w:tcPr>
          <w:p w14:paraId="7A48B9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w="2613" w:type="dxa"/>
            <w:vAlign w:val="center"/>
          </w:tcPr>
          <w:p w14:paraId="5AD1E8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I.5</w:t>
            </w:r>
          </w:p>
        </w:tc>
        <w:tc>
          <w:tcPr>
            <w:tcW w:w="2613" w:type="dxa"/>
            <w:vAlign w:val="center"/>
          </w:tcPr>
          <w:p w14:paraId="252D70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</w:tr>
      <w:tr w14:paraId="6AB4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08F85F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I.6</w:t>
            </w:r>
          </w:p>
        </w:tc>
        <w:tc>
          <w:tcPr>
            <w:tcW w:w="2613" w:type="dxa"/>
            <w:vAlign w:val="center"/>
          </w:tcPr>
          <w:p w14:paraId="2400AF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w="2613" w:type="dxa"/>
            <w:vAlign w:val="center"/>
          </w:tcPr>
          <w:p w14:paraId="281574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I.7</w:t>
            </w:r>
          </w:p>
        </w:tc>
        <w:tc>
          <w:tcPr>
            <w:tcW w:w="2613" w:type="dxa"/>
            <w:vAlign w:val="center"/>
          </w:tcPr>
          <w:p w14:paraId="095376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</w:tr>
      <w:tr w14:paraId="6301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19ADCA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I.8</w:t>
            </w:r>
          </w:p>
        </w:tc>
        <w:tc>
          <w:tcPr>
            <w:tcW w:w="2613" w:type="dxa"/>
            <w:vAlign w:val="center"/>
          </w:tcPr>
          <w:p w14:paraId="6F2BB7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w="2613" w:type="dxa"/>
            <w:vAlign w:val="center"/>
          </w:tcPr>
          <w:p w14:paraId="12EFEE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I.9</w:t>
            </w:r>
          </w:p>
        </w:tc>
        <w:tc>
          <w:tcPr>
            <w:tcW w:w="2613" w:type="dxa"/>
            <w:vAlign w:val="center"/>
          </w:tcPr>
          <w:p w14:paraId="2F4D97E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</w:tr>
      <w:tr w14:paraId="00C4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3343E9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I.10</w:t>
            </w:r>
          </w:p>
        </w:tc>
        <w:tc>
          <w:tcPr>
            <w:tcW w:w="2613" w:type="dxa"/>
            <w:vAlign w:val="center"/>
          </w:tcPr>
          <w:p w14:paraId="636F3C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w="2613" w:type="dxa"/>
            <w:vAlign w:val="center"/>
          </w:tcPr>
          <w:p w14:paraId="7251FD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I.11</w:t>
            </w:r>
          </w:p>
        </w:tc>
        <w:tc>
          <w:tcPr>
            <w:tcW w:w="2613" w:type="dxa"/>
            <w:vAlign w:val="center"/>
          </w:tcPr>
          <w:p w14:paraId="3E3855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C（推断）</w:t>
            </w:r>
          </w:p>
        </w:tc>
      </w:tr>
      <w:tr w14:paraId="744D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3E7A82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I.14</w:t>
            </w:r>
          </w:p>
        </w:tc>
        <w:tc>
          <w:tcPr>
            <w:tcW w:w="2613" w:type="dxa"/>
            <w:vAlign w:val="center"/>
          </w:tcPr>
          <w:p w14:paraId="49B4A4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w="2613" w:type="dxa"/>
            <w:vAlign w:val="center"/>
          </w:tcPr>
          <w:p w14:paraId="4B3A55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I.15</w:t>
            </w:r>
          </w:p>
        </w:tc>
        <w:tc>
          <w:tcPr>
            <w:tcW w:w="2613" w:type="dxa"/>
            <w:vAlign w:val="center"/>
          </w:tcPr>
          <w:p w14:paraId="452971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</w:tr>
      <w:tr w14:paraId="476A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39A15A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II.1</w:t>
            </w:r>
          </w:p>
        </w:tc>
        <w:tc>
          <w:tcPr>
            <w:tcW w:w="2613" w:type="dxa"/>
            <w:vAlign w:val="center"/>
          </w:tcPr>
          <w:p w14:paraId="58A6BA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Form fill-in / Command language / Direct manipulation / Navigation</w:t>
            </w:r>
          </w:p>
        </w:tc>
        <w:tc>
          <w:tcPr>
            <w:tcW w:w="2613" w:type="dxa"/>
            <w:vAlign w:val="center"/>
          </w:tcPr>
          <w:p w14:paraId="041B24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II.2</w:t>
            </w:r>
          </w:p>
        </w:tc>
        <w:tc>
          <w:tcPr>
            <w:tcW w:w="2613" w:type="dxa"/>
            <w:vAlign w:val="center"/>
          </w:tcPr>
          <w:p w14:paraId="32514D4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Requirements analysis / Preliminary &amp; detailed design / Build &amp; implementation / Evaluation</w:t>
            </w:r>
          </w:p>
        </w:tc>
      </w:tr>
      <w:tr w14:paraId="1A17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339AF2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II.3</w:t>
            </w:r>
          </w:p>
        </w:tc>
        <w:tc>
          <w:tcPr>
            <w:tcW w:w="2613" w:type="dxa"/>
            <w:vAlign w:val="center"/>
          </w:tcPr>
          <w:p w14:paraId="6AD90A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Agile design / Participatory design</w:t>
            </w:r>
          </w:p>
        </w:tc>
        <w:tc>
          <w:tcPr>
            <w:tcW w:w="2613" w:type="dxa"/>
            <w:vAlign w:val="center"/>
          </w:tcPr>
          <w:p w14:paraId="28026B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IV.1</w:t>
            </w:r>
          </w:p>
        </w:tc>
        <w:tc>
          <w:tcPr>
            <w:tcW w:w="2613" w:type="dxa"/>
            <w:vAlign w:val="center"/>
          </w:tcPr>
          <w:p w14:paraId="246B3D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39.81%</w:t>
            </w:r>
          </w:p>
        </w:tc>
      </w:tr>
      <w:tr w14:paraId="6E7F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vAlign w:val="center"/>
          </w:tcPr>
          <w:p w14:paraId="7F4BCFD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IV.2</w:t>
            </w:r>
          </w:p>
        </w:tc>
        <w:tc>
          <w:tcPr>
            <w:tcW w:w="2613" w:type="dxa"/>
            <w:vAlign w:val="center"/>
          </w:tcPr>
          <w:p w14:paraId="48D038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15.55%</w:t>
            </w:r>
          </w:p>
        </w:tc>
        <w:tc>
          <w:tcPr>
            <w:tcW w:w="2613" w:type="dxa"/>
            <w:vAlign w:val="center"/>
          </w:tcPr>
          <w:p w14:paraId="7245EC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IV.3</w:t>
            </w:r>
          </w:p>
        </w:tc>
        <w:tc>
          <w:tcPr>
            <w:tcW w:w="2613" w:type="dxa"/>
            <w:vAlign w:val="center"/>
          </w:tcPr>
          <w:p w14:paraId="110427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(300,300)=255; (500,200)=0; (550,250)=128</w:t>
            </w:r>
          </w:p>
        </w:tc>
      </w:tr>
    </w:tbl>
    <w:p w14:paraId="280DEA7C">
      <w:pPr>
        <w:pStyle w:val="3"/>
        <w:spacing w:before="0" w:after="60"/>
      </w:pPr>
      <w:r>
        <w:rPr>
          <w:rFonts w:ascii="Noto Sans CJK SC" w:hAnsi="Noto Sans CJK SC" w:eastAsia="Noto Sans CJK SC"/>
          <w:b w:val="0"/>
        </w:rPr>
        <w:t>识别与推断说明</w:t>
      </w:r>
    </w:p>
    <w:p w14:paraId="2BF334DB">
      <w:pPr>
        <w:spacing w:after="40"/>
        <w:ind w:left="230"/>
      </w:pPr>
      <w:r>
        <w:rPr>
          <w:rFonts w:ascii="Noto Sans CJK SC" w:hAnsi="Noto Sans CJK SC" w:eastAsia="Noto Sans CJK SC"/>
          <w:sz w:val="19"/>
        </w:rPr>
        <w:t>• 本整理版以课堂投影照片为主，保留原英文题干，不对照片缺失的题目进行填造。</w:t>
      </w:r>
    </w:p>
    <w:p w14:paraId="669A958C">
      <w:pPr>
        <w:spacing w:after="40"/>
        <w:ind w:left="230"/>
      </w:pPr>
      <w:r>
        <w:rPr>
          <w:rFonts w:ascii="Noto Sans CJK SC" w:hAnsi="Noto Sans CJK SC" w:eastAsia="Noto Sans CJK SC"/>
          <w:sz w:val="19"/>
        </w:rPr>
        <w:t>• 含“推断”字样的仅有 I.11，其选项与课程 Universal Usability 中的 “Group/Community Diversity” 对应关系明确；其余答案均在投影页中显示。</w:t>
      </w:r>
    </w:p>
    <w:p w14:paraId="0E34FADF">
      <w:pPr>
        <w:spacing w:after="40"/>
        <w:ind w:left="230"/>
      </w:pPr>
      <w:r>
        <w:rPr>
          <w:rFonts w:ascii="Noto Sans CJK SC" w:hAnsi="Noto Sans CJK SC" w:eastAsia="Noto Sans CJK SC"/>
          <w:sz w:val="19"/>
        </w:rPr>
        <w:t>• I.8 的 A、B 选项局部受到彩色噪点与人物遮挡影响，已保留可识别内容并标注不确定处。</w:t>
      </w:r>
    </w:p>
    <w:p w14:paraId="2291AC31">
      <w:pPr>
        <w:spacing w:after="40"/>
        <w:ind w:left="230"/>
      </w:pPr>
      <w:r>
        <w:rPr>
          <w:rFonts w:ascii="Noto Sans CJK SC" w:hAnsi="Noto Sans CJK SC" w:eastAsia="Noto Sans CJK SC"/>
          <w:sz w:val="19"/>
        </w:rPr>
        <w:t>• 题目中的关键视觉内容已作为图像附入：交互风格示例、FPIDP 阶段表、设计框架匹配表、三角形像素覆盖示意。</w:t>
      </w:r>
    </w:p>
    <w:sectPr>
      <w:footerReference r:id="rId5" w:type="default"/>
      <w:pgSz w:w="12240" w:h="15840"/>
      <w:pgMar w:top="792" w:right="893" w:bottom="792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68EDD">
    <w:pPr>
      <w:pStyle w:val="24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>ISE333 期中考试卷整理版 | 由课堂投影照片转录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B9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2227</Words>
  <Characters>7686</Characters>
  <Lines>0</Lines>
  <Paragraphs>0</Paragraphs>
  <TotalTime>447</TotalTime>
  <ScaleCrop>false</ScaleCrop>
  <LinksUpToDate>false</LinksUpToDate>
  <CharactersWithSpaces>8876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CananA</cp:lastModifiedBy>
  <dcterms:modified xsi:type="dcterms:W3CDTF">2026-06-29T13:33:00Z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62B4AE17BE074DA4A0CF85A4918887E2_12</vt:lpwstr>
  </property>
</Properties>
</file>