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51BD9">
      <w:pPr>
        <w:ind w:left="360" w:hanging="360"/>
      </w:pPr>
      <w:r>
        <w:rPr>
          <w:rFonts w:hint="eastAsia"/>
        </w:rPr>
        <w:t>作业2：第二讲课后作:</w:t>
      </w:r>
    </w:p>
    <w:p w14:paraId="0F09857E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列举常见的颜色模型，简要说明其原理和特点。</w:t>
      </w:r>
    </w:p>
    <w:p w14:paraId="66FAFD3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RGB (Red, Green, Blue): Additive mixing. Used for digital displays. High hardware efficiency.</w:t>
      </w:r>
    </w:p>
    <w:p w14:paraId="4A26CCE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CMYK (Cyan, Magenta, Yellow, Black): Subtractive mixing. Used for printing.</w:t>
      </w:r>
    </w:p>
    <w:p w14:paraId="4EA2CC9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HSV/HSL: Based on human perception (Hue, Saturation, Brightness). Very intuitive for designers.</w:t>
      </w:r>
    </w:p>
    <w:p w14:paraId="2EB5B0B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Lab: Device-independent. Based on color opponents. Covers the widest color gamut.</w:t>
      </w:r>
    </w:p>
    <w:p w14:paraId="7B52E08D">
      <w:pPr>
        <w:pStyle w:val="10"/>
        <w:numPr>
          <w:ilvl w:val="0"/>
          <w:numId w:val="1"/>
        </w:numPr>
        <w:ind w:firstLineChars="0"/>
      </w:pPr>
      <w:r>
        <w:t>为什么不用光线的光谱能量分布来定义颜色？</w:t>
      </w:r>
    </w:p>
    <w:p w14:paraId="792277C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Efficiency: SPD is high-dimensional (too much data); RGB only needs 3 values.</w:t>
      </w:r>
    </w:p>
    <w:p w14:paraId="43B61FE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Metamerism: Different spectra can produce the same perceived color in humans.</w:t>
      </w:r>
    </w:p>
    <w:p w14:paraId="0F6489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Hardware: Screens and cameras are built to work with RGB, not full spectra.</w:t>
      </w:r>
    </w:p>
    <w:p w14:paraId="357D80C0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什么是齐次坐标？齐次坐标的作用？</w:t>
      </w:r>
    </w:p>
    <w:p w14:paraId="5D1EFE3D">
      <w:pPr>
        <w:keepNext w:val="0"/>
        <w:keepLines w:val="0"/>
        <w:widowControl/>
        <w:suppressLineNumbers w:val="0"/>
      </w:pPr>
      <w:r>
        <w:t xml:space="preserve">Definition: Adding an extra dimension </w:t>
      </w:r>
      <w:r>
        <w:rPr>
          <w:rFonts w:hint="eastAsia"/>
          <w:lang w:val="en-US" w:eastAsia="zh-CN"/>
        </w:rPr>
        <w:t>(</w:t>
      </w:r>
      <w:r>
        <w:t>w) to a coordinate (e.g., (x,y)→(x,y,1)(x,y)→(x,y,1)).</w:t>
      </w:r>
    </w:p>
    <w:p w14:paraId="28D1E08E">
      <w:pPr>
        <w:pStyle w:val="5"/>
        <w:keepNext w:val="0"/>
        <w:keepLines w:val="0"/>
        <w:widowControl/>
        <w:suppressLineNumbers w:val="0"/>
        <w:spacing w:before="0" w:beforeAutospacing="1" w:after="0" w:afterAutospacing="0"/>
        <w:ind w:left="0" w:right="0"/>
      </w:pPr>
      <w:r>
        <w:t>Purpose:</w:t>
      </w:r>
      <w:r>
        <w:rPr>
          <w:rFonts w:hint="eastAsia"/>
          <w:lang w:val="en-US" w:eastAsia="zh-CN"/>
        </w:rPr>
        <w:t xml:space="preserve">  </w:t>
      </w:r>
      <w:r>
        <w:t>Unified Matrix: Allows Translation to be represented as matrix multiplication.</w:t>
      </w:r>
    </w:p>
    <w:p w14:paraId="7C5121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right="0" w:firstLine="1200" w:firstLineChars="500"/>
      </w:pPr>
      <w:r>
        <w:t>Projection: Essential for calculating perspective (objects getting smaller in the distance).</w:t>
      </w:r>
    </w:p>
    <w:p w14:paraId="3B50063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0" w:firstLine="480" w:firstLineChars="200"/>
      </w:pPr>
      <w:r>
        <w:t>Efficiency: Combines multiple transformations into a single matrix.</w:t>
      </w:r>
    </w:p>
    <w:p w14:paraId="1B72DC3C">
      <w:pPr>
        <w:pStyle w:val="10"/>
        <w:numPr>
          <w:numId w:val="0"/>
        </w:numPr>
        <w:spacing w:beforeAutospacing="0"/>
        <w:ind w:leftChars="0"/>
      </w:pPr>
    </w:p>
    <w:p w14:paraId="2AC12596">
      <w:pPr>
        <w:pStyle w:val="10"/>
        <w:numPr>
          <w:ilvl w:val="0"/>
          <w:numId w:val="1"/>
        </w:numPr>
        <w:ind w:firstLineChars="0"/>
      </w:pPr>
      <w:r>
        <w:rPr>
          <w:rFonts w:hint="eastAsia"/>
        </w:rPr>
        <w:t>简述刚体变换、相似变换、线性变换、仿射变换的特点及包含的具体的</w:t>
      </w:r>
      <w:r>
        <w:rPr>
          <w:rFonts w:ascii="Arial" w:hAnsi="Arial" w:cs="Arial"/>
          <w:shd w:val="clear" w:color="auto" w:fill="FFFFFF"/>
        </w:rPr>
        <w:t>变换形式。</w:t>
      </w:r>
    </w:p>
    <w:p w14:paraId="5E8729B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Rigid Body: Preserves size and shape. (Forms: </w:t>
      </w:r>
      <w:r>
        <w:rPr>
          <w:i/>
          <w:iCs/>
        </w:rPr>
        <w:t>Translation, Rotation</w:t>
      </w:r>
      <w:r>
        <w:t>)</w:t>
      </w:r>
    </w:p>
    <w:p w14:paraId="5809B8C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Similarity: Preserves shape and angles, but size can change. (Forms: </w:t>
      </w:r>
      <w:r>
        <w:rPr>
          <w:i/>
          <w:iCs/>
        </w:rPr>
        <w:t>Rigid + Uniform Scaling</w:t>
      </w:r>
      <w:r>
        <w:t>)</w:t>
      </w:r>
    </w:p>
    <w:p w14:paraId="21E99D9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Linear: Preserves straight lines and origin. (Forms: </w:t>
      </w:r>
      <w:r>
        <w:rPr>
          <w:i/>
          <w:iCs/>
        </w:rPr>
        <w:t>Rotat</w:t>
      </w:r>
      <w:bookmarkStart w:id="0" w:name="_GoBack"/>
      <w:bookmarkEnd w:id="0"/>
      <w:r>
        <w:rPr>
          <w:i/>
          <w:iCs/>
        </w:rPr>
        <w:t>ion, Scaling, Shear, Reflection</w:t>
      </w:r>
      <w:r>
        <w:t>)</w:t>
      </w:r>
    </w:p>
    <w:p w14:paraId="43C1016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Affine: Preserves parallelism and ratios of lengths. (Forms: </w:t>
      </w:r>
      <w:r>
        <w:rPr>
          <w:i/>
          <w:iCs/>
        </w:rPr>
        <w:t>Linear + Translation</w:t>
      </w:r>
      <w:r>
        <w:t>)</w:t>
      </w:r>
      <w:r>
        <w:rPr>
          <w:rFonts w:hint="eastAsia" w:ascii="宋体" w:hAnsi="宋体" w:eastAsia="宋体" w:cs="宋体"/>
          <w:sz w:val="24"/>
        </w:rPr>
        <w:t xml:space="preserve"> </w:t>
      </w:r>
    </w:p>
    <w:p w14:paraId="4ECBAB2E">
      <w:pPr>
        <w:pStyle w:val="10"/>
        <w:numPr>
          <w:ilvl w:val="0"/>
          <w:numId w:val="1"/>
        </w:numPr>
        <w:ind w:firstLineChars="0"/>
      </w:pPr>
      <w:r>
        <w:t>利用OpenGL给出一个以特定名称命名的窗口，并在窗口中绘制一个简单二维图形图案。</w:t>
      </w:r>
    </w:p>
    <w:p w14:paraId="7212F45D">
      <w:pPr>
        <w:pStyle w:val="10"/>
        <w:numPr>
          <w:numId w:val="0"/>
        </w:numPr>
        <w:ind w:leftChars="0"/>
      </w:pPr>
      <w:r>
        <w:drawing>
          <wp:inline distT="0" distB="0" distL="114300" distR="114300">
            <wp:extent cx="5266690" cy="453009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3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422C0"/>
    <w:multiLevelType w:val="multilevel"/>
    <w:tmpl w:val="0E8422C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2B8"/>
    <w:rsid w:val="00021035"/>
    <w:rsid w:val="00154855"/>
    <w:rsid w:val="001602B8"/>
    <w:rsid w:val="004972C1"/>
    <w:rsid w:val="005940A1"/>
    <w:rsid w:val="006826BC"/>
    <w:rsid w:val="006B76BE"/>
    <w:rsid w:val="00852416"/>
    <w:rsid w:val="008651E9"/>
    <w:rsid w:val="00873090"/>
    <w:rsid w:val="008778CD"/>
    <w:rsid w:val="008F638B"/>
    <w:rsid w:val="00941780"/>
    <w:rsid w:val="009564DA"/>
    <w:rsid w:val="00985D1B"/>
    <w:rsid w:val="009C64B6"/>
    <w:rsid w:val="009E6435"/>
    <w:rsid w:val="00AA6EC1"/>
    <w:rsid w:val="00AE0AFD"/>
    <w:rsid w:val="00B93220"/>
    <w:rsid w:val="00CF3445"/>
    <w:rsid w:val="00DA1AE2"/>
    <w:rsid w:val="00ED6BAB"/>
    <w:rsid w:val="00F51DBC"/>
    <w:rsid w:val="00F7216E"/>
    <w:rsid w:val="63A5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8">
    <w:name w:val="页眉 字符"/>
    <w:basedOn w:val="7"/>
    <w:link w:val="3"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</Words>
  <Characters>145</Characters>
  <Lines>1</Lines>
  <Paragraphs>1</Paragraphs>
  <TotalTime>36</TotalTime>
  <ScaleCrop>false</ScaleCrop>
  <LinksUpToDate>false</LinksUpToDate>
  <CharactersWithSpaces>145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2023-09-06T00:44:00Z</dcterms:created>
  <dc:creator>Asus</dc:creator>
  <cp:lastModifiedBy>CananA</cp:lastModifiedBy>
  <dcterms:modified xsi:type="dcterms:W3CDTF">2026-03-28T06:55:25Z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eyJoZGlkIjoiMDFhNGVlOTkzYzkyZDQ2M2YwYmQ2NWU4MzVlYTNhMjIiLCJ1c2VySWQiOiIxNTM1ODE2NzA0In0=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253DEEBB04774ADEA12464D9FDC42B38_12</vt:lpwstr>
  </property>
</Properties>
</file>