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BF4EF">
      <w:pPr>
        <w:jc w:val="center"/>
      </w:pPr>
      <w:r>
        <w:rPr>
          <w:b/>
          <w:sz w:val="26"/>
        </w:rPr>
        <w:t>PROJECT DOCUMENTATION</w:t>
      </w:r>
    </w:p>
    <w:p w14:paraId="72A81DF8">
      <w:pPr>
        <w:jc w:val="center"/>
      </w:pPr>
      <w:r>
        <w:rPr>
          <w:b/>
          <w:sz w:val="54"/>
        </w:rPr>
        <w:t>Incident Lifecycle Automation in ServiceNow</w:t>
      </w:r>
    </w:p>
    <w:p w14:paraId="23BDEFC4">
      <w:pPr>
        <w:jc w:val="center"/>
      </w:pPr>
      <w:r>
        <w:rPr>
          <w:sz w:val="25"/>
        </w:rPr>
        <w:t>End-to-End Incident Management, Knowledge, SLA, Escalation and Change Integration</w:t>
      </w:r>
    </w:p>
    <w:p w14:paraId="2F5EA940"/>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377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63D75F14">
            <w:pPr>
              <w:spacing w:after="0" w:line="240" w:lineRule="auto"/>
            </w:pPr>
            <w:r>
              <w:rPr>
                <w:b/>
                <w:sz w:val="18"/>
              </w:rPr>
              <w:t>Platform</w:t>
            </w:r>
          </w:p>
        </w:tc>
        <w:tc>
          <w:tcPr>
            <w:tcW w:w="5040" w:type="dxa"/>
            <w:vAlign w:val="center"/>
          </w:tcPr>
          <w:p w14:paraId="2D713C37">
            <w:pPr>
              <w:spacing w:after="0" w:line="240" w:lineRule="auto"/>
            </w:pPr>
            <w:r>
              <w:rPr>
                <w:b w:val="0"/>
                <w:sz w:val="18"/>
              </w:rPr>
              <w:t>ServiceNow – Service Operations Workspace</w:t>
            </w:r>
          </w:p>
        </w:tc>
      </w:tr>
      <w:tr w14:paraId="7AFC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5CA3EEF3">
            <w:pPr>
              <w:spacing w:after="0" w:line="240" w:lineRule="auto"/>
            </w:pPr>
            <w:r>
              <w:rPr>
                <w:b/>
                <w:sz w:val="18"/>
              </w:rPr>
              <w:t>Project</w:t>
            </w:r>
          </w:p>
        </w:tc>
        <w:tc>
          <w:tcPr>
            <w:tcW w:w="5040" w:type="dxa"/>
            <w:vAlign w:val="center"/>
          </w:tcPr>
          <w:p w14:paraId="2D84D762">
            <w:pPr>
              <w:spacing w:after="0" w:line="240" w:lineRule="auto"/>
            </w:pPr>
            <w:r>
              <w:rPr>
                <w:b w:val="0"/>
                <w:sz w:val="18"/>
              </w:rPr>
              <w:t>Incident Lifecycle Automation</w:t>
            </w:r>
          </w:p>
        </w:tc>
      </w:tr>
      <w:tr w14:paraId="2CBC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67F2E311">
            <w:pPr>
              <w:spacing w:after="0" w:line="240" w:lineRule="auto"/>
            </w:pPr>
            <w:r>
              <w:rPr>
                <w:b/>
                <w:sz w:val="18"/>
              </w:rPr>
              <w:t>Prepared by</w:t>
            </w:r>
          </w:p>
        </w:tc>
        <w:tc>
          <w:tcPr>
            <w:tcW w:w="5040" w:type="dxa"/>
            <w:vAlign w:val="center"/>
          </w:tcPr>
          <w:p w14:paraId="3D3843EE">
            <w:pPr>
              <w:spacing w:after="0" w:line="240" w:lineRule="auto"/>
            </w:pPr>
            <w:r>
              <w:rPr>
                <w:b w:val="0"/>
                <w:sz w:val="18"/>
              </w:rPr>
              <w:t>Uppugandla Manjeera</w:t>
            </w:r>
          </w:p>
        </w:tc>
      </w:tr>
      <w:tr w14:paraId="0790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473C322">
            <w:pPr>
              <w:spacing w:after="0" w:line="240" w:lineRule="auto"/>
            </w:pPr>
            <w:r>
              <w:rPr>
                <w:b/>
                <w:sz w:val="18"/>
              </w:rPr>
              <w:t>Primary scenario</w:t>
            </w:r>
          </w:p>
        </w:tc>
        <w:tc>
          <w:tcPr>
            <w:tcW w:w="5040" w:type="dxa"/>
            <w:vAlign w:val="center"/>
          </w:tcPr>
          <w:p w14:paraId="2D13E4CA">
            <w:pPr>
              <w:spacing w:after="0" w:line="240" w:lineRule="auto"/>
            </w:pPr>
            <w:r>
              <w:rPr>
                <w:b w:val="0"/>
                <w:sz w:val="18"/>
              </w:rPr>
              <w:t>INC00100004 – Unable to connect to Corporate VPN from home office</w:t>
            </w:r>
          </w:p>
        </w:tc>
      </w:tr>
      <w:tr w14:paraId="76EA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42330AB">
            <w:pPr>
              <w:spacing w:after="0" w:line="240" w:lineRule="auto"/>
            </w:pPr>
            <w:r>
              <w:rPr>
                <w:b/>
                <w:sz w:val="18"/>
              </w:rPr>
              <w:t>Document type</w:t>
            </w:r>
          </w:p>
        </w:tc>
        <w:tc>
          <w:tcPr>
            <w:tcW w:w="5040" w:type="dxa"/>
            <w:vAlign w:val="center"/>
          </w:tcPr>
          <w:p w14:paraId="60B67D45">
            <w:pPr>
              <w:spacing w:after="0" w:line="240" w:lineRule="auto"/>
            </w:pPr>
            <w:r>
              <w:rPr>
                <w:b w:val="0"/>
                <w:sz w:val="18"/>
              </w:rPr>
              <w:t>Implementation and validation report</w:t>
            </w:r>
          </w:p>
        </w:tc>
      </w:tr>
    </w:tbl>
    <w:p w14:paraId="7C09FC9A">
      <w:pPr>
        <w:pStyle w:val="2"/>
        <w:ind w:firstLine="361" w:firstLineChars="100"/>
      </w:pPr>
    </w:p>
    <w:p w14:paraId="752893C1">
      <w:pPr>
        <w:pStyle w:val="2"/>
      </w:pPr>
      <w:r>
        <w:t>Table of Contents</w:t>
      </w:r>
    </w:p>
    <w:p w14:paraId="36105657">
      <w:r>
        <w:t>1. Executive Summary</w:t>
      </w:r>
    </w:p>
    <w:p w14:paraId="5CAA6944">
      <w:r>
        <w:t>2. Problem Statement</w:t>
      </w:r>
    </w:p>
    <w:p w14:paraId="5DB8FD9A">
      <w:r>
        <w:t>3. Business Objectives</w:t>
      </w:r>
    </w:p>
    <w:p w14:paraId="665B1871">
      <w:r>
        <w:t>4. Functional Scope</w:t>
      </w:r>
    </w:p>
    <w:p w14:paraId="1D692FA6">
      <w:r>
        <w:t>5. Stakeholder Mapping</w:t>
      </w:r>
    </w:p>
    <w:p w14:paraId="7A375C4C">
      <w:r>
        <w:t>6. Execution Roadmap</w:t>
      </w:r>
    </w:p>
    <w:p w14:paraId="6D489405">
      <w:r>
        <w:t>7. Implementation Phases</w:t>
      </w:r>
    </w:p>
    <w:p w14:paraId="46A41E38">
      <w:r>
        <w:t>8. Testing &amp; Deployment</w:t>
      </w:r>
    </w:p>
    <w:p w14:paraId="38665D58">
      <w:r>
        <w:t>9. Results and Evidence</w:t>
      </w:r>
    </w:p>
    <w:p w14:paraId="1078EA6A">
      <w:r>
        <w:t>10. Conclusion</w:t>
      </w:r>
    </w:p>
    <w:p w14:paraId="2874C969">
      <w:r>
        <w:t>11. Skills Demonstrated</w:t>
      </w:r>
    </w:p>
    <w:p w14:paraId="45918BB6">
      <w:r>
        <w:br w:type="page"/>
      </w:r>
    </w:p>
    <w:p w14:paraId="1CDCBF61">
      <w:bookmarkStart w:id="0" w:name="_GoBack"/>
      <w:bookmarkEnd w:id="0"/>
    </w:p>
    <w:p w14:paraId="6811B9CD">
      <w:pPr>
        <w:pStyle w:val="2"/>
      </w:pPr>
      <w:r>
        <w:t>1. Executive Summary</w:t>
      </w:r>
    </w:p>
    <w:p w14:paraId="50497176">
      <w:r>
        <w:t>This project demonstrates a complete Incident Management lifecycle automation in ServiceNow. The solution uses Service Operations Workspace and related ServiceNow capabilities to standardize incident creation, classification, assignment, knowledge integration, escalation, child-incident management, SLA tracking, emergency change integration, and resolution documentation.</w:t>
      </w:r>
    </w:p>
    <w:p w14:paraId="23655FB9">
      <w:r>
        <w:t>The primary scenario is a Corporate VPN connectivity issue. The workflow demonstrates how a Service Desk can capture the incident, classify and assign it, use knowledge, escalate investigation, place the incident on hold while awaiting a change, resolve the parent and child incidents, and maintain a traceable activity history.</w:t>
      </w:r>
    </w:p>
    <w:p w14:paraId="63095CAC">
      <w:pPr>
        <w:pStyle w:val="2"/>
      </w:pPr>
      <w:r>
        <w:t>2. Problem Statement</w:t>
      </w:r>
    </w:p>
    <w:p w14:paraId="3992973A">
      <w:r>
        <w:t>IT incidents reported through email, phone calls, or informal channels can lead to poor tracking, inconsistent classification, delayed escalation, limited resolution visibility, SLA breaches, and weak corrective-action traceability. This project addresses those issues through a structured ServiceNow incident lifecycle.</w:t>
      </w:r>
    </w:p>
    <w:p w14:paraId="4A01479F">
      <w:pPr>
        <w:pStyle w:val="2"/>
      </w:pPr>
      <w:r>
        <w:t>3. Business Objectives</w:t>
      </w:r>
    </w:p>
    <w:p w14:paraId="2C9AB050">
      <w:pPr>
        <w:pStyle w:val="23"/>
        <w:spacing w:after="40"/>
      </w:pPr>
      <w:r>
        <w:t>Enable Service Desk agents to create and classify incidents.</w:t>
      </w:r>
    </w:p>
    <w:p w14:paraId="2F444B4B">
      <w:pPr>
        <w:pStyle w:val="23"/>
        <w:spacing w:after="40"/>
      </w:pPr>
      <w:r>
        <w:t>Integrate Knowledge Management for faster resolution.</w:t>
      </w:r>
    </w:p>
    <w:p w14:paraId="7D2D1D1F">
      <w:pPr>
        <w:pStyle w:val="23"/>
        <w:spacing w:after="40"/>
      </w:pPr>
      <w:r>
        <w:t>Allow reassignment to appropriate support groups and Level 2 technicians.</w:t>
      </w:r>
    </w:p>
    <w:p w14:paraId="75B1B933">
      <w:pPr>
        <w:pStyle w:val="23"/>
        <w:spacing w:after="40"/>
      </w:pPr>
      <w:r>
        <w:t>Create emergency change requests from incidents when required.</w:t>
      </w:r>
    </w:p>
    <w:p w14:paraId="3324A3ED">
      <w:pPr>
        <w:pStyle w:val="23"/>
        <w:spacing w:after="40"/>
      </w:pPr>
      <w:r>
        <w:t>Allow child incident creation for related or recurring issues.</w:t>
      </w:r>
    </w:p>
    <w:p w14:paraId="69BFBA57">
      <w:pPr>
        <w:pStyle w:val="23"/>
        <w:spacing w:after="40"/>
      </w:pPr>
      <w:r>
        <w:t>Generate Knowledge Articles from resolved incidents.</w:t>
      </w:r>
    </w:p>
    <w:p w14:paraId="5EBE6B2E">
      <w:pPr>
        <w:pStyle w:val="23"/>
        <w:spacing w:after="40"/>
      </w:pPr>
      <w:r>
        <w:t>Improve SLA compliance, traceability, and service visibility.</w:t>
      </w:r>
    </w:p>
    <w:p w14:paraId="4519B4D2">
      <w:pPr>
        <w:pStyle w:val="23"/>
        <w:spacing w:after="40"/>
      </w:pPr>
      <w:r>
        <w:t>Document incident cause, workaround, and final resolution.</w:t>
      </w:r>
    </w:p>
    <w:p w14:paraId="5E850CC3">
      <w:pPr>
        <w:pStyle w:val="2"/>
      </w:pPr>
      <w:r>
        <w:t>4. Functional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3E9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47180399">
            <w:pPr>
              <w:spacing w:after="0" w:line="240" w:lineRule="auto"/>
            </w:pPr>
            <w:r>
              <w:rPr>
                <w:b/>
                <w:sz w:val="18"/>
              </w:rPr>
              <w:t>Functional Area</w:t>
            </w:r>
          </w:p>
        </w:tc>
        <w:tc>
          <w:tcPr>
            <w:tcW w:w="3360" w:type="dxa"/>
            <w:shd w:val="clear" w:color="auto" w:fill="D9EAF7"/>
            <w:vAlign w:val="center"/>
          </w:tcPr>
          <w:p w14:paraId="72D26D40">
            <w:pPr>
              <w:spacing w:after="0" w:line="240" w:lineRule="auto"/>
            </w:pPr>
            <w:r>
              <w:rPr>
                <w:b/>
                <w:sz w:val="18"/>
              </w:rPr>
              <w:t>ServiceNow Capability</w:t>
            </w:r>
          </w:p>
        </w:tc>
        <w:tc>
          <w:tcPr>
            <w:tcW w:w="3360" w:type="dxa"/>
            <w:shd w:val="clear" w:color="auto" w:fill="D9EAF7"/>
            <w:vAlign w:val="center"/>
          </w:tcPr>
          <w:p w14:paraId="172A1CD0">
            <w:pPr>
              <w:spacing w:after="0" w:line="240" w:lineRule="auto"/>
            </w:pPr>
            <w:r>
              <w:rPr>
                <w:b/>
                <w:sz w:val="18"/>
              </w:rPr>
              <w:t>Expected Outcome</w:t>
            </w:r>
          </w:p>
        </w:tc>
      </w:tr>
      <w:tr w14:paraId="587E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46FBCCD">
            <w:pPr>
              <w:spacing w:after="0" w:line="240" w:lineRule="auto"/>
            </w:pPr>
            <w:r>
              <w:rPr>
                <w:b w:val="0"/>
                <w:sz w:val="18"/>
              </w:rPr>
              <w:t>Incident Record Creation</w:t>
            </w:r>
          </w:p>
        </w:tc>
        <w:tc>
          <w:tcPr>
            <w:tcW w:w="3360" w:type="dxa"/>
            <w:vAlign w:val="center"/>
          </w:tcPr>
          <w:p w14:paraId="1499DBBC">
            <w:pPr>
              <w:spacing w:after="0" w:line="240" w:lineRule="auto"/>
            </w:pPr>
            <w:r>
              <w:rPr>
                <w:b w:val="0"/>
                <w:sz w:val="18"/>
              </w:rPr>
              <w:t>Service Operations Workspace</w:t>
            </w:r>
          </w:p>
        </w:tc>
        <w:tc>
          <w:tcPr>
            <w:tcW w:w="3360" w:type="dxa"/>
            <w:vAlign w:val="center"/>
          </w:tcPr>
          <w:p w14:paraId="7C005F16">
            <w:pPr>
              <w:spacing w:after="0" w:line="240" w:lineRule="auto"/>
            </w:pPr>
            <w:r>
              <w:rPr>
                <w:b w:val="0"/>
                <w:sz w:val="18"/>
              </w:rPr>
              <w:t>Structured incident record</w:t>
            </w:r>
          </w:p>
        </w:tc>
      </w:tr>
      <w:tr w14:paraId="22D5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83DC760">
            <w:pPr>
              <w:spacing w:after="0" w:line="240" w:lineRule="auto"/>
            </w:pPr>
            <w:r>
              <w:rPr>
                <w:b w:val="0"/>
                <w:sz w:val="18"/>
              </w:rPr>
              <w:t>Incident Classification</w:t>
            </w:r>
          </w:p>
        </w:tc>
        <w:tc>
          <w:tcPr>
            <w:tcW w:w="3360" w:type="dxa"/>
            <w:vAlign w:val="center"/>
          </w:tcPr>
          <w:p w14:paraId="64FC03AE">
            <w:pPr>
              <w:spacing w:after="0" w:line="240" w:lineRule="auto"/>
            </w:pPr>
            <w:r>
              <w:rPr>
                <w:b w:val="0"/>
                <w:sz w:val="18"/>
              </w:rPr>
              <w:t>Category, Subcategory, Impact, Urgency, Service, CI</w:t>
            </w:r>
          </w:p>
        </w:tc>
        <w:tc>
          <w:tcPr>
            <w:tcW w:w="3360" w:type="dxa"/>
            <w:vAlign w:val="center"/>
          </w:tcPr>
          <w:p w14:paraId="63913A1A">
            <w:pPr>
              <w:spacing w:after="0" w:line="240" w:lineRule="auto"/>
            </w:pPr>
            <w:r>
              <w:rPr>
                <w:b w:val="0"/>
                <w:sz w:val="18"/>
              </w:rPr>
              <w:t>Accurate prioritization</w:t>
            </w:r>
          </w:p>
        </w:tc>
      </w:tr>
      <w:tr w14:paraId="4C6A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1EEBB5D">
            <w:pPr>
              <w:spacing w:after="0" w:line="240" w:lineRule="auto"/>
            </w:pPr>
            <w:r>
              <w:rPr>
                <w:b w:val="0"/>
                <w:sz w:val="18"/>
              </w:rPr>
              <w:t>Knowledge Integration</w:t>
            </w:r>
          </w:p>
        </w:tc>
        <w:tc>
          <w:tcPr>
            <w:tcW w:w="3360" w:type="dxa"/>
            <w:vAlign w:val="center"/>
          </w:tcPr>
          <w:p w14:paraId="01CD1A94">
            <w:pPr>
              <w:spacing w:after="0" w:line="240" w:lineRule="auto"/>
            </w:pPr>
            <w:r>
              <w:rPr>
                <w:b w:val="0"/>
                <w:sz w:val="18"/>
              </w:rPr>
              <w:t>Agent Assist / Knowledge</w:t>
            </w:r>
          </w:p>
        </w:tc>
        <w:tc>
          <w:tcPr>
            <w:tcW w:w="3360" w:type="dxa"/>
            <w:vAlign w:val="center"/>
          </w:tcPr>
          <w:p w14:paraId="42A9EE5C">
            <w:pPr>
              <w:spacing w:after="0" w:line="240" w:lineRule="auto"/>
            </w:pPr>
            <w:r>
              <w:rPr>
                <w:b w:val="0"/>
                <w:sz w:val="18"/>
              </w:rPr>
              <w:t>Relevant troubleshooting guidance</w:t>
            </w:r>
          </w:p>
        </w:tc>
      </w:tr>
      <w:tr w14:paraId="3EDC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8E79F41">
            <w:pPr>
              <w:spacing w:after="0" w:line="240" w:lineRule="auto"/>
            </w:pPr>
            <w:r>
              <w:rPr>
                <w:b w:val="0"/>
                <w:sz w:val="18"/>
              </w:rPr>
              <w:t>Reassignment &amp; Escalation</w:t>
            </w:r>
          </w:p>
        </w:tc>
        <w:tc>
          <w:tcPr>
            <w:tcW w:w="3360" w:type="dxa"/>
            <w:vAlign w:val="center"/>
          </w:tcPr>
          <w:p w14:paraId="1C4559F4">
            <w:pPr>
              <w:spacing w:after="0" w:line="240" w:lineRule="auto"/>
            </w:pPr>
            <w:r>
              <w:rPr>
                <w:b w:val="0"/>
                <w:sz w:val="18"/>
              </w:rPr>
              <w:t>Assignment Group / Assigned To</w:t>
            </w:r>
          </w:p>
        </w:tc>
        <w:tc>
          <w:tcPr>
            <w:tcW w:w="3360" w:type="dxa"/>
            <w:vAlign w:val="center"/>
          </w:tcPr>
          <w:p w14:paraId="10587AA4">
            <w:pPr>
              <w:spacing w:after="0" w:line="240" w:lineRule="auto"/>
            </w:pPr>
            <w:r>
              <w:rPr>
                <w:b w:val="0"/>
                <w:sz w:val="18"/>
              </w:rPr>
              <w:t>Level 2 ownership</w:t>
            </w:r>
          </w:p>
        </w:tc>
      </w:tr>
      <w:tr w14:paraId="5B42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25AC3B1">
            <w:pPr>
              <w:spacing w:after="0" w:line="240" w:lineRule="auto"/>
            </w:pPr>
            <w:r>
              <w:rPr>
                <w:b w:val="0"/>
                <w:sz w:val="18"/>
              </w:rPr>
              <w:t>Emergency Change</w:t>
            </w:r>
          </w:p>
        </w:tc>
        <w:tc>
          <w:tcPr>
            <w:tcW w:w="3360" w:type="dxa"/>
            <w:vAlign w:val="center"/>
          </w:tcPr>
          <w:p w14:paraId="5F7FC1C0">
            <w:pPr>
              <w:spacing w:after="0" w:line="240" w:lineRule="auto"/>
            </w:pPr>
            <w:r>
              <w:rPr>
                <w:b w:val="0"/>
                <w:sz w:val="18"/>
              </w:rPr>
              <w:t>Change Management</w:t>
            </w:r>
          </w:p>
        </w:tc>
        <w:tc>
          <w:tcPr>
            <w:tcW w:w="3360" w:type="dxa"/>
            <w:vAlign w:val="center"/>
          </w:tcPr>
          <w:p w14:paraId="73EA718B">
            <w:pPr>
              <w:spacing w:after="0" w:line="240" w:lineRule="auto"/>
            </w:pPr>
            <w:r>
              <w:rPr>
                <w:b w:val="0"/>
                <w:sz w:val="18"/>
              </w:rPr>
              <w:t>Controlled emergency change</w:t>
            </w:r>
          </w:p>
        </w:tc>
      </w:tr>
      <w:tr w14:paraId="029C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708BBBE">
            <w:pPr>
              <w:spacing w:after="0" w:line="240" w:lineRule="auto"/>
            </w:pPr>
            <w:r>
              <w:rPr>
                <w:b w:val="0"/>
                <w:sz w:val="18"/>
              </w:rPr>
              <w:t>Child Incident</w:t>
            </w:r>
          </w:p>
        </w:tc>
        <w:tc>
          <w:tcPr>
            <w:tcW w:w="3360" w:type="dxa"/>
            <w:vAlign w:val="center"/>
          </w:tcPr>
          <w:p w14:paraId="0EDEE3D3">
            <w:pPr>
              <w:spacing w:after="0" w:line="240" w:lineRule="auto"/>
            </w:pPr>
            <w:r>
              <w:rPr>
                <w:b w:val="0"/>
                <w:sz w:val="18"/>
              </w:rPr>
              <w:t>Parent/child relationship</w:t>
            </w:r>
          </w:p>
        </w:tc>
        <w:tc>
          <w:tcPr>
            <w:tcW w:w="3360" w:type="dxa"/>
            <w:vAlign w:val="center"/>
          </w:tcPr>
          <w:p w14:paraId="289682DE">
            <w:pPr>
              <w:spacing w:after="0" w:line="240" w:lineRule="auto"/>
            </w:pPr>
            <w:r>
              <w:rPr>
                <w:b w:val="0"/>
                <w:sz w:val="18"/>
              </w:rPr>
              <w:t>Tracking related issues</w:t>
            </w:r>
          </w:p>
        </w:tc>
      </w:tr>
      <w:tr w14:paraId="3A13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670CFAD">
            <w:pPr>
              <w:spacing w:after="0" w:line="240" w:lineRule="auto"/>
            </w:pPr>
            <w:r>
              <w:rPr>
                <w:b w:val="0"/>
                <w:sz w:val="18"/>
              </w:rPr>
              <w:t>Resolution</w:t>
            </w:r>
          </w:p>
        </w:tc>
        <w:tc>
          <w:tcPr>
            <w:tcW w:w="3360" w:type="dxa"/>
            <w:vAlign w:val="center"/>
          </w:tcPr>
          <w:p w14:paraId="73987512">
            <w:pPr>
              <w:spacing w:after="0" w:line="240" w:lineRule="auto"/>
            </w:pPr>
            <w:r>
              <w:rPr>
                <w:b w:val="0"/>
                <w:sz w:val="18"/>
              </w:rPr>
              <w:t>Resolution code and notes</w:t>
            </w:r>
          </w:p>
        </w:tc>
        <w:tc>
          <w:tcPr>
            <w:tcW w:w="3360" w:type="dxa"/>
            <w:vAlign w:val="center"/>
          </w:tcPr>
          <w:p w14:paraId="5ECF29AD">
            <w:pPr>
              <w:spacing w:after="0" w:line="240" w:lineRule="auto"/>
            </w:pPr>
            <w:r>
              <w:rPr>
                <w:b w:val="0"/>
                <w:sz w:val="18"/>
              </w:rPr>
              <w:t>Complete closure documentation</w:t>
            </w:r>
          </w:p>
        </w:tc>
      </w:tr>
      <w:tr w14:paraId="36C1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B5188C">
            <w:pPr>
              <w:spacing w:after="0" w:line="240" w:lineRule="auto"/>
            </w:pPr>
            <w:r>
              <w:rPr>
                <w:b w:val="0"/>
                <w:sz w:val="18"/>
              </w:rPr>
              <w:t>Knowledge Creation</w:t>
            </w:r>
          </w:p>
        </w:tc>
        <w:tc>
          <w:tcPr>
            <w:tcW w:w="3360" w:type="dxa"/>
            <w:vAlign w:val="center"/>
          </w:tcPr>
          <w:p w14:paraId="3807B31F">
            <w:pPr>
              <w:spacing w:after="0" w:line="240" w:lineRule="auto"/>
            </w:pPr>
            <w:r>
              <w:rPr>
                <w:b w:val="0"/>
                <w:sz w:val="18"/>
              </w:rPr>
              <w:t>Create Knowledge</w:t>
            </w:r>
          </w:p>
        </w:tc>
        <w:tc>
          <w:tcPr>
            <w:tcW w:w="3360" w:type="dxa"/>
            <w:vAlign w:val="center"/>
          </w:tcPr>
          <w:p w14:paraId="7A5FABE8">
            <w:pPr>
              <w:spacing w:after="0" w:line="240" w:lineRule="auto"/>
            </w:pPr>
            <w:r>
              <w:rPr>
                <w:b w:val="0"/>
                <w:sz w:val="18"/>
              </w:rPr>
              <w:t>Reusable solution article</w:t>
            </w:r>
          </w:p>
        </w:tc>
      </w:tr>
      <w:tr w14:paraId="6BBC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96DFA65">
            <w:pPr>
              <w:spacing w:after="0" w:line="240" w:lineRule="auto"/>
            </w:pPr>
            <w:r>
              <w:rPr>
                <w:b w:val="0"/>
                <w:sz w:val="18"/>
              </w:rPr>
              <w:t>SLA Tracking</w:t>
            </w:r>
          </w:p>
        </w:tc>
        <w:tc>
          <w:tcPr>
            <w:tcW w:w="3360" w:type="dxa"/>
            <w:vAlign w:val="center"/>
          </w:tcPr>
          <w:p w14:paraId="5F9C48FD">
            <w:pPr>
              <w:spacing w:after="0" w:line="240" w:lineRule="auto"/>
            </w:pPr>
            <w:r>
              <w:rPr>
                <w:b w:val="0"/>
                <w:sz w:val="18"/>
              </w:rPr>
              <w:t>Task SLAs / Related Records</w:t>
            </w:r>
          </w:p>
        </w:tc>
        <w:tc>
          <w:tcPr>
            <w:tcW w:w="3360" w:type="dxa"/>
            <w:vAlign w:val="center"/>
          </w:tcPr>
          <w:p w14:paraId="12043ED6">
            <w:pPr>
              <w:spacing w:after="0" w:line="240" w:lineRule="auto"/>
            </w:pPr>
            <w:r>
              <w:rPr>
                <w:b w:val="0"/>
                <w:sz w:val="18"/>
              </w:rPr>
              <w:t>SLA visibility</w:t>
            </w:r>
          </w:p>
        </w:tc>
      </w:tr>
    </w:tbl>
    <w:p w14:paraId="77770B38">
      <w:pPr>
        <w:pStyle w:val="2"/>
      </w:pPr>
      <w:r>
        <w:t>5. Stakeholder Mapping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4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9EAF7"/>
            <w:vAlign w:val="center"/>
          </w:tcPr>
          <w:p w14:paraId="54B9C913">
            <w:pPr>
              <w:spacing w:after="0" w:line="240" w:lineRule="auto"/>
            </w:pPr>
            <w:r>
              <w:rPr>
                <w:b/>
                <w:sz w:val="18"/>
              </w:rPr>
              <w:t>Stakeholder</w:t>
            </w:r>
          </w:p>
        </w:tc>
        <w:tc>
          <w:tcPr>
            <w:tcW w:w="2520" w:type="dxa"/>
            <w:shd w:val="clear" w:color="auto" w:fill="D9EAF7"/>
            <w:vAlign w:val="center"/>
          </w:tcPr>
          <w:p w14:paraId="60109283">
            <w:pPr>
              <w:spacing w:after="0" w:line="240" w:lineRule="auto"/>
            </w:pPr>
            <w:r>
              <w:rPr>
                <w:b/>
                <w:sz w:val="18"/>
              </w:rPr>
              <w:t>Role</w:t>
            </w:r>
          </w:p>
        </w:tc>
        <w:tc>
          <w:tcPr>
            <w:tcW w:w="2520" w:type="dxa"/>
            <w:shd w:val="clear" w:color="auto" w:fill="D9EAF7"/>
            <w:vAlign w:val="center"/>
          </w:tcPr>
          <w:p w14:paraId="2D080680">
            <w:pPr>
              <w:spacing w:after="0" w:line="240" w:lineRule="auto"/>
            </w:pPr>
            <w:r>
              <w:rPr>
                <w:b/>
                <w:sz w:val="18"/>
              </w:rPr>
              <w:t>Needs / Expectations</w:t>
            </w:r>
          </w:p>
        </w:tc>
        <w:tc>
          <w:tcPr>
            <w:tcW w:w="2520" w:type="dxa"/>
            <w:shd w:val="clear" w:color="auto" w:fill="D9EAF7"/>
            <w:vAlign w:val="center"/>
          </w:tcPr>
          <w:p w14:paraId="26F0BCAF">
            <w:pPr>
              <w:spacing w:after="0" w:line="240" w:lineRule="auto"/>
            </w:pPr>
            <w:r>
              <w:rPr>
                <w:b/>
                <w:sz w:val="18"/>
              </w:rPr>
              <w:t>Automation Impact</w:t>
            </w:r>
          </w:p>
        </w:tc>
      </w:tr>
      <w:tr w14:paraId="49E4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9C3E61E">
            <w:pPr>
              <w:spacing w:after="0" w:line="240" w:lineRule="auto"/>
            </w:pPr>
            <w:r>
              <w:rPr>
                <w:b w:val="0"/>
                <w:sz w:val="18"/>
              </w:rPr>
              <w:t>End Users</w:t>
            </w:r>
          </w:p>
        </w:tc>
        <w:tc>
          <w:tcPr>
            <w:tcW w:w="2520" w:type="dxa"/>
            <w:vAlign w:val="center"/>
          </w:tcPr>
          <w:p w14:paraId="0EF81B7F">
            <w:pPr>
              <w:spacing w:after="0" w:line="240" w:lineRule="auto"/>
            </w:pPr>
            <w:r>
              <w:rPr>
                <w:b w:val="0"/>
                <w:sz w:val="18"/>
              </w:rPr>
              <w:t>Report IT issues</w:t>
            </w:r>
          </w:p>
        </w:tc>
        <w:tc>
          <w:tcPr>
            <w:tcW w:w="2520" w:type="dxa"/>
            <w:vAlign w:val="center"/>
          </w:tcPr>
          <w:p w14:paraId="23B66ABA">
            <w:pPr>
              <w:spacing w:after="0" w:line="240" w:lineRule="auto"/>
            </w:pPr>
            <w:r>
              <w:rPr>
                <w:b w:val="0"/>
                <w:sz w:val="18"/>
              </w:rPr>
              <w:t>Quick resolution and visibility</w:t>
            </w:r>
          </w:p>
        </w:tc>
        <w:tc>
          <w:tcPr>
            <w:tcW w:w="2520" w:type="dxa"/>
            <w:vAlign w:val="center"/>
          </w:tcPr>
          <w:p w14:paraId="3E8CB625">
            <w:pPr>
              <w:spacing w:after="0" w:line="240" w:lineRule="auto"/>
            </w:pPr>
            <w:r>
              <w:rPr>
                <w:b w:val="0"/>
                <w:sz w:val="18"/>
              </w:rPr>
              <w:t>Faster resolution; transparent tracking</w:t>
            </w:r>
          </w:p>
        </w:tc>
      </w:tr>
      <w:tr w14:paraId="0896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61D22DF6">
            <w:pPr>
              <w:spacing w:after="0" w:line="240" w:lineRule="auto"/>
            </w:pPr>
            <w:r>
              <w:rPr>
                <w:b w:val="0"/>
                <w:sz w:val="18"/>
              </w:rPr>
              <w:t>Service Desk Agents</w:t>
            </w:r>
          </w:p>
        </w:tc>
        <w:tc>
          <w:tcPr>
            <w:tcW w:w="2520" w:type="dxa"/>
            <w:vAlign w:val="center"/>
          </w:tcPr>
          <w:p w14:paraId="5BFA98B9">
            <w:pPr>
              <w:spacing w:after="0" w:line="240" w:lineRule="auto"/>
            </w:pPr>
            <w:r>
              <w:rPr>
                <w:b w:val="0"/>
                <w:sz w:val="18"/>
              </w:rPr>
              <w:t>First-level support</w:t>
            </w:r>
          </w:p>
        </w:tc>
        <w:tc>
          <w:tcPr>
            <w:tcW w:w="2520" w:type="dxa"/>
            <w:vAlign w:val="center"/>
          </w:tcPr>
          <w:p w14:paraId="766F11AB">
            <w:pPr>
              <w:spacing w:after="0" w:line="240" w:lineRule="auto"/>
            </w:pPr>
            <w:r>
              <w:rPr>
                <w:b w:val="0"/>
                <w:sz w:val="18"/>
              </w:rPr>
              <w:t>Easy logging and classification</w:t>
            </w:r>
          </w:p>
        </w:tc>
        <w:tc>
          <w:tcPr>
            <w:tcW w:w="2520" w:type="dxa"/>
            <w:vAlign w:val="center"/>
          </w:tcPr>
          <w:p w14:paraId="0DF9EB4D">
            <w:pPr>
              <w:spacing w:after="0" w:line="240" w:lineRule="auto"/>
            </w:pPr>
            <w:r>
              <w:rPr>
                <w:b w:val="0"/>
                <w:sz w:val="18"/>
              </w:rPr>
              <w:t>Standardized intake; faster escalation</w:t>
            </w:r>
          </w:p>
        </w:tc>
      </w:tr>
      <w:tr w14:paraId="28D0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389B9396">
            <w:pPr>
              <w:spacing w:after="0" w:line="240" w:lineRule="auto"/>
            </w:pPr>
            <w:r>
              <w:rPr>
                <w:b w:val="0"/>
                <w:sz w:val="18"/>
              </w:rPr>
              <w:t>Level 2 Support</w:t>
            </w:r>
          </w:p>
        </w:tc>
        <w:tc>
          <w:tcPr>
            <w:tcW w:w="2520" w:type="dxa"/>
            <w:vAlign w:val="center"/>
          </w:tcPr>
          <w:p w14:paraId="3F6793D1">
            <w:pPr>
              <w:spacing w:after="0" w:line="240" w:lineRule="auto"/>
            </w:pPr>
            <w:r>
              <w:rPr>
                <w:b w:val="0"/>
                <w:sz w:val="18"/>
              </w:rPr>
              <w:t>Diagnose and resolve</w:t>
            </w:r>
          </w:p>
        </w:tc>
        <w:tc>
          <w:tcPr>
            <w:tcW w:w="2520" w:type="dxa"/>
            <w:vAlign w:val="center"/>
          </w:tcPr>
          <w:p w14:paraId="4AAAD572">
            <w:pPr>
              <w:spacing w:after="0" w:line="240" w:lineRule="auto"/>
            </w:pPr>
            <w:r>
              <w:rPr>
                <w:b w:val="0"/>
                <w:sz w:val="18"/>
              </w:rPr>
              <w:t>Complete incident data</w:t>
            </w:r>
          </w:p>
        </w:tc>
        <w:tc>
          <w:tcPr>
            <w:tcW w:w="2520" w:type="dxa"/>
            <w:vAlign w:val="center"/>
          </w:tcPr>
          <w:p w14:paraId="1E6E54FC">
            <w:pPr>
              <w:spacing w:after="0" w:line="240" w:lineRule="auto"/>
            </w:pPr>
            <w:r>
              <w:rPr>
                <w:b w:val="0"/>
                <w:sz w:val="18"/>
              </w:rPr>
              <w:t>Better diagnosis; clear ownership</w:t>
            </w:r>
          </w:p>
        </w:tc>
      </w:tr>
      <w:tr w14:paraId="5BD5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3065925">
            <w:pPr>
              <w:spacing w:after="0" w:line="240" w:lineRule="auto"/>
            </w:pPr>
            <w:r>
              <w:rPr>
                <w:b w:val="0"/>
                <w:sz w:val="18"/>
              </w:rPr>
              <w:t>Change Management Team</w:t>
            </w:r>
          </w:p>
        </w:tc>
        <w:tc>
          <w:tcPr>
            <w:tcW w:w="2520" w:type="dxa"/>
            <w:vAlign w:val="center"/>
          </w:tcPr>
          <w:p w14:paraId="226903E6">
            <w:pPr>
              <w:spacing w:after="0" w:line="240" w:lineRule="auto"/>
            </w:pPr>
            <w:r>
              <w:rPr>
                <w:b w:val="0"/>
                <w:sz w:val="18"/>
              </w:rPr>
              <w:t>Handle emergency changes</w:t>
            </w:r>
          </w:p>
        </w:tc>
        <w:tc>
          <w:tcPr>
            <w:tcW w:w="2520" w:type="dxa"/>
            <w:vAlign w:val="center"/>
          </w:tcPr>
          <w:p w14:paraId="3803C5D2">
            <w:pPr>
              <w:spacing w:after="0" w:line="240" w:lineRule="auto"/>
            </w:pPr>
            <w:r>
              <w:rPr>
                <w:b w:val="0"/>
                <w:sz w:val="18"/>
              </w:rPr>
              <w:t>Structured change requests</w:t>
            </w:r>
          </w:p>
        </w:tc>
        <w:tc>
          <w:tcPr>
            <w:tcW w:w="2520" w:type="dxa"/>
            <w:vAlign w:val="center"/>
          </w:tcPr>
          <w:p w14:paraId="1885796B">
            <w:pPr>
              <w:spacing w:after="0" w:line="240" w:lineRule="auto"/>
            </w:pPr>
            <w:r>
              <w:rPr>
                <w:b w:val="0"/>
                <w:sz w:val="18"/>
              </w:rPr>
              <w:t>Integrated change control</w:t>
            </w:r>
          </w:p>
        </w:tc>
      </w:tr>
      <w:tr w14:paraId="5177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B8680F1">
            <w:pPr>
              <w:spacing w:after="0" w:line="240" w:lineRule="auto"/>
            </w:pPr>
            <w:r>
              <w:rPr>
                <w:b w:val="0"/>
                <w:sz w:val="18"/>
              </w:rPr>
              <w:t>ServiceNow Admin</w:t>
            </w:r>
          </w:p>
        </w:tc>
        <w:tc>
          <w:tcPr>
            <w:tcW w:w="2520" w:type="dxa"/>
            <w:vAlign w:val="center"/>
          </w:tcPr>
          <w:p w14:paraId="5DAF5B78">
            <w:pPr>
              <w:spacing w:after="0" w:line="240" w:lineRule="auto"/>
            </w:pPr>
            <w:r>
              <w:rPr>
                <w:b w:val="0"/>
                <w:sz w:val="18"/>
              </w:rPr>
              <w:t>Maintain configuration</w:t>
            </w:r>
          </w:p>
        </w:tc>
        <w:tc>
          <w:tcPr>
            <w:tcW w:w="2520" w:type="dxa"/>
            <w:vAlign w:val="center"/>
          </w:tcPr>
          <w:p w14:paraId="701AEB7A">
            <w:pPr>
              <w:spacing w:after="0" w:line="240" w:lineRule="auto"/>
            </w:pPr>
            <w:r>
              <w:rPr>
                <w:b w:val="0"/>
                <w:sz w:val="18"/>
              </w:rPr>
              <w:t>Scalable, controlled solution</w:t>
            </w:r>
          </w:p>
        </w:tc>
        <w:tc>
          <w:tcPr>
            <w:tcW w:w="2520" w:type="dxa"/>
            <w:vAlign w:val="center"/>
          </w:tcPr>
          <w:p w14:paraId="5AF236DC">
            <w:pPr>
              <w:spacing w:after="0" w:line="240" w:lineRule="auto"/>
            </w:pPr>
            <w:r>
              <w:rPr>
                <w:b w:val="0"/>
                <w:sz w:val="18"/>
              </w:rPr>
              <w:t>Governed and trackable process</w:t>
            </w:r>
          </w:p>
        </w:tc>
      </w:tr>
    </w:tbl>
    <w:p w14:paraId="1588969E">
      <w:pPr>
        <w:pStyle w:val="2"/>
      </w:pPr>
      <w:r>
        <w:t>6. Execution Roadmap</w:t>
      </w:r>
    </w:p>
    <w:p w14:paraId="613E9335">
      <w:r>
        <w:rPr>
          <w:b/>
        </w:rPr>
        <w:t xml:space="preserve">1. </w:t>
      </w:r>
      <w:r>
        <w:t>Requirement Analysis &amp; Planning</w:t>
      </w:r>
    </w:p>
    <w:p w14:paraId="3434D003">
      <w:r>
        <w:rPr>
          <w:b/>
        </w:rPr>
        <w:t xml:space="preserve">2. </w:t>
      </w:r>
      <w:r>
        <w:t>Create New Service and Service Offering</w:t>
      </w:r>
    </w:p>
    <w:p w14:paraId="26F96FC4">
      <w:r>
        <w:rPr>
          <w:b/>
        </w:rPr>
        <w:t xml:space="preserve">3. </w:t>
      </w:r>
      <w:r>
        <w:t>Incident Record Creation</w:t>
      </w:r>
    </w:p>
    <w:p w14:paraId="674887D3">
      <w:r>
        <w:rPr>
          <w:b/>
        </w:rPr>
        <w:t xml:space="preserve">4. </w:t>
      </w:r>
      <w:r>
        <w:t>Incident Classification</w:t>
      </w:r>
    </w:p>
    <w:p w14:paraId="17E0AD63">
      <w:r>
        <w:rPr>
          <w:b/>
        </w:rPr>
        <w:t xml:space="preserve">5. </w:t>
      </w:r>
      <w:r>
        <w:t>Knowledge Integration</w:t>
      </w:r>
    </w:p>
    <w:p w14:paraId="44BED9E9">
      <w:r>
        <w:rPr>
          <w:b/>
        </w:rPr>
        <w:t xml:space="preserve">6. </w:t>
      </w:r>
      <w:r>
        <w:t>Reassignment &amp; Escalation</w:t>
      </w:r>
    </w:p>
    <w:p w14:paraId="7FC9C86C">
      <w:r>
        <w:rPr>
          <w:b/>
        </w:rPr>
        <w:t xml:space="preserve">7. </w:t>
      </w:r>
      <w:r>
        <w:t>Incident Tracking by Level 2</w:t>
      </w:r>
    </w:p>
    <w:p w14:paraId="4529612F">
      <w:r>
        <w:rPr>
          <w:b/>
        </w:rPr>
        <w:t xml:space="preserve">8. </w:t>
      </w:r>
      <w:r>
        <w:t>Emergency Change Request Creation</w:t>
      </w:r>
    </w:p>
    <w:p w14:paraId="753B48D3">
      <w:r>
        <w:rPr>
          <w:b/>
        </w:rPr>
        <w:t xml:space="preserve">9. </w:t>
      </w:r>
      <w:r>
        <w:t>Incident Resolution</w:t>
      </w:r>
    </w:p>
    <w:p w14:paraId="64958CEE">
      <w:r>
        <w:rPr>
          <w:b/>
        </w:rPr>
        <w:t xml:space="preserve">10. </w:t>
      </w:r>
      <w:r>
        <w:t>Knowledge Creation</w:t>
      </w:r>
    </w:p>
    <w:p w14:paraId="6BB8DD59">
      <w:r>
        <w:rPr>
          <w:b/>
        </w:rPr>
        <w:t xml:space="preserve">11. </w:t>
      </w:r>
      <w:r>
        <w:t>SLA &amp; Related Record Validation</w:t>
      </w:r>
    </w:p>
    <w:p w14:paraId="64064E39">
      <w:r>
        <w:rPr>
          <w:b/>
        </w:rPr>
        <w:t xml:space="preserve">12. </w:t>
      </w:r>
      <w:r>
        <w:t>Testing &amp; Deployment</w:t>
      </w:r>
    </w:p>
    <w:p w14:paraId="10943F8A">
      <w:r>
        <w:rPr>
          <w:b/>
        </w:rPr>
        <w:t xml:space="preserve">13. </w:t>
      </w:r>
      <w:r>
        <w:t>Conclusion</w:t>
      </w:r>
    </w:p>
    <w:p w14:paraId="1BC00E15">
      <w:pPr>
        <w:pStyle w:val="2"/>
      </w:pPr>
      <w:r>
        <w:t>7. Implementation Phases</w:t>
      </w:r>
    </w:p>
    <w:p w14:paraId="681937FB">
      <w:pPr>
        <w:pStyle w:val="3"/>
      </w:pPr>
      <w:r>
        <w:t>7.1 Phase 1 – Requirement Analysis &amp; Planning</w:t>
      </w:r>
    </w:p>
    <w:p w14:paraId="3BD0B100">
      <w:r>
        <w:t>The planning phase defines the problem, business objectives, stakeholder responsibilities, functional scope, milestones, and required ServiceNow skills. The roadmap covers incident creation, classification, knowledge integration, escalation, emergency change, child incidents, resolution, knowledge creation, and SLA validation.</w:t>
      </w:r>
    </w:p>
    <w:p w14:paraId="0DEEA9D7">
      <w:pPr>
        <w:pStyle w:val="3"/>
      </w:pPr>
      <w:r>
        <w:t>7.2 Phase 2 – Create New Service and Service Offering</w:t>
      </w:r>
    </w:p>
    <w:p w14:paraId="42AA1D82">
      <w:r>
        <w:t>The Corporate VPN service offering was configured under Remote Access. The offering is shown as a production, operational service with business criticality configured, establishing the service context used by VPN incidents.</w:t>
      </w:r>
    </w:p>
    <w:p w14:paraId="553F9F06">
      <w:pPr>
        <w:jc w:val="center"/>
        <w:rPr>
          <w:b/>
          <w:bCs/>
        </w:rPr>
      </w:pPr>
      <w:r>
        <w:drawing>
          <wp:inline distT="0" distB="0" distL="114300" distR="114300">
            <wp:extent cx="5989320" cy="2907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4814" b="4873"/>
                    <a:stretch>
                      <a:fillRect/>
                    </a:stretch>
                  </pic:blipFill>
                  <pic:spPr>
                    <a:xfrm>
                      <a:off x="0" y="0"/>
                      <a:ext cx="5989320" cy="2907030"/>
                    </a:xfrm>
                    <a:prstGeom prst="rect">
                      <a:avLst/>
                    </a:prstGeom>
                  </pic:spPr>
                </pic:pic>
              </a:graphicData>
            </a:graphic>
          </wp:inline>
        </w:drawing>
      </w:r>
    </w:p>
    <w:p w14:paraId="5D2E3893">
      <w:pPr>
        <w:jc w:val="center"/>
      </w:pPr>
      <w:r>
        <w:rPr>
          <w:i/>
          <w:sz w:val="18"/>
        </w:rPr>
        <w:t>Corporate VPN service offering configuration.</w:t>
      </w:r>
    </w:p>
    <w:p w14:paraId="4FBC59CE">
      <w:pPr>
        <w:pStyle w:val="3"/>
      </w:pPr>
      <w:r>
        <w:t>7.3 Phase 3 – Incident Record Creation</w:t>
      </w:r>
    </w:p>
    <w:p w14:paraId="25D15ECD">
      <w:r>
        <w:t>A VPN incident was created for a user receiving an authentication failure while the Internet remained available. The record includes a short description, detailed description, caller, service context, assignment information, and SLA information.</w:t>
      </w:r>
    </w:p>
    <w:p w14:paraId="4ED09115">
      <w:pPr>
        <w:jc w:val="center"/>
      </w:pPr>
      <w:r>
        <w:drawing>
          <wp:inline distT="0" distB="0" distL="114300" distR="114300">
            <wp:extent cx="5989320" cy="3068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t="4696" b="4168"/>
                    <a:stretch>
                      <a:fillRect/>
                    </a:stretch>
                  </pic:blipFill>
                  <pic:spPr>
                    <a:xfrm>
                      <a:off x="0" y="0"/>
                      <a:ext cx="5989320" cy="3068320"/>
                    </a:xfrm>
                    <a:prstGeom prst="rect">
                      <a:avLst/>
                    </a:prstGeom>
                  </pic:spPr>
                </pic:pic>
              </a:graphicData>
            </a:graphic>
          </wp:inline>
        </w:drawing>
      </w:r>
    </w:p>
    <w:p w14:paraId="0A28C48B">
      <w:pPr>
        <w:jc w:val="center"/>
      </w:pPr>
      <w:r>
        <w:rPr>
          <w:i/>
          <w:sz w:val="18"/>
        </w:rPr>
        <w:t>Incident description and activity showing VPN troubleshooting knowledge guidance.</w:t>
      </w:r>
    </w:p>
    <w:p w14:paraId="53F23FAA">
      <w:pPr>
        <w:pStyle w:val="3"/>
      </w:pPr>
      <w:r>
        <w:t>7.4 Phase 4 – Incident Classification</w:t>
      </w:r>
    </w:p>
    <w:p w14:paraId="6D354576">
      <w:r>
        <w:t>The incident was classified using impact, urgency, priority, category, service, and configuration-item context. The activity stream records classification and assignment changes for traceability.</w:t>
      </w:r>
    </w:p>
    <w:p w14:paraId="0D76AACE">
      <w:pPr>
        <w:jc w:val="center"/>
      </w:pPr>
      <w:r>
        <w:drawing>
          <wp:inline distT="0" distB="0" distL="114300" distR="114300">
            <wp:extent cx="5989320" cy="2829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l="-170" t="10185" r="170" b="5771"/>
                    <a:stretch>
                      <a:fillRect/>
                    </a:stretch>
                  </pic:blipFill>
                  <pic:spPr>
                    <a:xfrm>
                      <a:off x="0" y="0"/>
                      <a:ext cx="5989320" cy="2829560"/>
                    </a:xfrm>
                    <a:prstGeom prst="rect">
                      <a:avLst/>
                    </a:prstGeom>
                  </pic:spPr>
                </pic:pic>
              </a:graphicData>
            </a:graphic>
          </wp:inline>
        </w:drawing>
      </w:r>
    </w:p>
    <w:p w14:paraId="6DF5F022">
      <w:pPr>
        <w:jc w:val="center"/>
      </w:pPr>
      <w:r>
        <w:rPr>
          <w:i/>
          <w:sz w:val="18"/>
        </w:rPr>
        <w:t>Incident INC00100004 showing assignment, activity history, and SLA information.</w:t>
      </w:r>
    </w:p>
    <w:p w14:paraId="08161056">
      <w:pPr>
        <w:pStyle w:val="3"/>
      </w:pPr>
      <w:r>
        <w:t>7.5 Phase 5 – Knowledge Integration</w:t>
      </w:r>
    </w:p>
    <w:p w14:paraId="58F45AA7">
      <w:r>
        <w:t>Knowledge integration connects incident handling with documented troubleshooting guidance. The VPN incident activity references a VPN configuration knowledge article. The project also includes creation and verification of a Knowledge Article from the incident.</w:t>
      </w:r>
    </w:p>
    <w:p w14:paraId="7FADDDE8">
      <w:pPr>
        <w:jc w:val="center"/>
      </w:pPr>
      <w:r>
        <w:drawing>
          <wp:inline distT="0" distB="0" distL="114300" distR="114300">
            <wp:extent cx="5989320" cy="3032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rcRect t="4432" b="5507"/>
                    <a:stretch>
                      <a:fillRect/>
                    </a:stretch>
                  </pic:blipFill>
                  <pic:spPr>
                    <a:xfrm>
                      <a:off x="0" y="0"/>
                      <a:ext cx="5989320" cy="3032125"/>
                    </a:xfrm>
                    <a:prstGeom prst="rect">
                      <a:avLst/>
                    </a:prstGeom>
                  </pic:spPr>
                </pic:pic>
              </a:graphicData>
            </a:graphic>
          </wp:inline>
        </w:drawing>
      </w:r>
    </w:p>
    <w:p w14:paraId="4F781680">
      <w:pPr>
        <w:jc w:val="center"/>
      </w:pPr>
      <w:r>
        <w:rPr>
          <w:i/>
          <w:sz w:val="18"/>
        </w:rPr>
        <w:t>Knowledge guidance referenced in the incident activity.</w:t>
      </w:r>
    </w:p>
    <w:p w14:paraId="6A7FF870">
      <w:pPr>
        <w:pStyle w:val="3"/>
      </w:pPr>
      <w:r>
        <w:t>7.6 Phase 6 – Reassignment &amp; Escalation</w:t>
      </w:r>
    </w:p>
    <w:p w14:paraId="7078B5C6">
      <w:r>
        <w:t>The incident lifecycle supports assignment to the Service Desk and escalation to appropriate support teams. Assignment Group, Assigned To, work notes, and activity history provide evidence of ownership and collaboration.</w:t>
      </w:r>
    </w:p>
    <w:p w14:paraId="24A6EE40">
      <w:pPr>
        <w:jc w:val="center"/>
      </w:pPr>
      <w:r>
        <w:drawing>
          <wp:inline distT="0" distB="0" distL="114300" distR="114300">
            <wp:extent cx="5989320" cy="302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rcRect t="4772" b="5262"/>
                    <a:stretch>
                      <a:fillRect/>
                    </a:stretch>
                  </pic:blipFill>
                  <pic:spPr>
                    <a:xfrm>
                      <a:off x="0" y="0"/>
                      <a:ext cx="5989320" cy="3028950"/>
                    </a:xfrm>
                    <a:prstGeom prst="rect">
                      <a:avLst/>
                    </a:prstGeom>
                  </pic:spPr>
                </pic:pic>
              </a:graphicData>
            </a:graphic>
          </wp:inline>
        </w:drawing>
      </w:r>
    </w:p>
    <w:p w14:paraId="79612370">
      <w:pPr>
        <w:jc w:val="center"/>
      </w:pPr>
      <w:r>
        <w:rPr>
          <w:i/>
          <w:sz w:val="18"/>
        </w:rPr>
        <w:t>Incident assignment and collaboration fields.</w:t>
      </w:r>
    </w:p>
    <w:p w14:paraId="72904BD9">
      <w:pPr>
        <w:pStyle w:val="3"/>
      </w:pPr>
      <w:r>
        <w:t>7.7 Phase 7 – Incident Tracking by Level 2</w:t>
      </w:r>
    </w:p>
    <w:p w14:paraId="747A27B9">
      <w:r>
        <w:t>Level 2 investigation is supported through assignment, activity history, configuration-item context, and related incident records. This provides the technical team with the information needed for investigation.</w:t>
      </w:r>
    </w:p>
    <w:p w14:paraId="12A1788B">
      <w:pPr>
        <w:jc w:val="center"/>
      </w:pPr>
      <w:r>
        <w:drawing>
          <wp:inline distT="0" distB="0" distL="114300" distR="114300">
            <wp:extent cx="5989320" cy="306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t="5092" b="3998"/>
                    <a:stretch>
                      <a:fillRect/>
                    </a:stretch>
                  </pic:blipFill>
                  <pic:spPr>
                    <a:xfrm>
                      <a:off x="0" y="0"/>
                      <a:ext cx="5989320" cy="3060700"/>
                    </a:xfrm>
                    <a:prstGeom prst="rect">
                      <a:avLst/>
                    </a:prstGeom>
                  </pic:spPr>
                </pic:pic>
              </a:graphicData>
            </a:graphic>
          </wp:inline>
        </w:drawing>
      </w:r>
    </w:p>
    <w:p w14:paraId="2628C5CE">
      <w:pPr>
        <w:jc w:val="center"/>
      </w:pPr>
      <w:r>
        <w:rPr>
          <w:i/>
          <w:sz w:val="18"/>
        </w:rPr>
        <w:t>Child incident INC00100005 showing resolution based on the parent incident.</w:t>
      </w:r>
    </w:p>
    <w:p w14:paraId="68126272">
      <w:pPr>
        <w:pStyle w:val="3"/>
      </w:pPr>
      <w:r>
        <w:t>7.8 Phase 8 – Emergency Change Request Creation</w:t>
      </w:r>
    </w:p>
    <w:p w14:paraId="6BF405F3">
      <w:r>
        <w:t>When an incident requires an emergency change, the incident can be placed On Hold with the reason Awaiting Change while the change is processed. The resolution history then documents the corrective action performed under the emergency change.</w:t>
      </w:r>
    </w:p>
    <w:p w14:paraId="0FA2320C">
      <w:pPr>
        <w:jc w:val="center"/>
      </w:pPr>
      <w:r>
        <w:drawing>
          <wp:inline distT="0" distB="0" distL="114300" distR="114300">
            <wp:extent cx="5989320" cy="3020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t="4847" b="5432"/>
                    <a:stretch>
                      <a:fillRect/>
                    </a:stretch>
                  </pic:blipFill>
                  <pic:spPr>
                    <a:xfrm>
                      <a:off x="0" y="0"/>
                      <a:ext cx="5989320" cy="3020695"/>
                    </a:xfrm>
                    <a:prstGeom prst="rect">
                      <a:avLst/>
                    </a:prstGeom>
                  </pic:spPr>
                </pic:pic>
              </a:graphicData>
            </a:graphic>
          </wp:inline>
        </w:drawing>
      </w:r>
    </w:p>
    <w:p w14:paraId="553C5364">
      <w:pPr>
        <w:jc w:val="center"/>
      </w:pPr>
      <w:r>
        <w:rPr>
          <w:i/>
          <w:sz w:val="18"/>
        </w:rPr>
        <w:t>Incident INC00100004 placed On Hold with On Hold Reason set to Awaiting Change.</w:t>
      </w:r>
    </w:p>
    <w:p w14:paraId="0A262136">
      <w:pPr>
        <w:jc w:val="center"/>
      </w:pPr>
      <w:r>
        <w:drawing>
          <wp:inline distT="0" distB="0" distL="114300" distR="114300">
            <wp:extent cx="5989320" cy="3067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t="4357" b="4527"/>
                    <a:stretch>
                      <a:fillRect/>
                    </a:stretch>
                  </pic:blipFill>
                  <pic:spPr>
                    <a:xfrm>
                      <a:off x="0" y="0"/>
                      <a:ext cx="5989320" cy="3067685"/>
                    </a:xfrm>
                    <a:prstGeom prst="rect">
                      <a:avLst/>
                    </a:prstGeom>
                  </pic:spPr>
                </pic:pic>
              </a:graphicData>
            </a:graphic>
          </wp:inline>
        </w:drawing>
      </w:r>
    </w:p>
    <w:p w14:paraId="692C63D7">
      <w:pPr>
        <w:jc w:val="center"/>
      </w:pPr>
      <w:r>
        <w:rPr>
          <w:i/>
          <w:sz w:val="18"/>
        </w:rPr>
        <w:t>Resolved parent incident with resolution notes documenting the emergency change.</w:t>
      </w:r>
    </w:p>
    <w:p w14:paraId="5BEB0C6F">
      <w:r>
        <w:t>The supplied evidence shows the Awaiting Change state and later resolution notes stating that the VPN server service was restarted as per an emergency change request.</w:t>
      </w:r>
    </w:p>
    <w:p w14:paraId="4BF92898">
      <w:pPr>
        <w:pStyle w:val="3"/>
      </w:pPr>
      <w:r>
        <w:t>7.9 Child Incident Management and Resolution</w:t>
      </w:r>
    </w:p>
    <w:p w14:paraId="77A29C63">
      <w:r>
        <w:t>The parent/child incident relationship supports tracking of related issues. The evidence shows a child incident, INC00100005, being resolved based on the resolution of the parent incident.</w:t>
      </w:r>
    </w:p>
    <w:p w14:paraId="3C8AEBCA">
      <w:pPr>
        <w:jc w:val="center"/>
      </w:pPr>
      <w:r>
        <w:drawing>
          <wp:inline distT="0" distB="0" distL="114300" distR="114300">
            <wp:extent cx="5989320" cy="2974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rcRect t="6375" b="5262"/>
                    <a:stretch>
                      <a:fillRect/>
                    </a:stretch>
                  </pic:blipFill>
                  <pic:spPr>
                    <a:xfrm>
                      <a:off x="0" y="0"/>
                      <a:ext cx="5989320" cy="2974975"/>
                    </a:xfrm>
                    <a:prstGeom prst="rect">
                      <a:avLst/>
                    </a:prstGeom>
                  </pic:spPr>
                </pic:pic>
              </a:graphicData>
            </a:graphic>
          </wp:inline>
        </w:drawing>
      </w:r>
    </w:p>
    <w:p w14:paraId="42676DEA">
      <w:pPr>
        <w:jc w:val="center"/>
      </w:pPr>
      <w:r>
        <w:rPr>
          <w:i/>
          <w:sz w:val="18"/>
        </w:rPr>
        <w:t>Resolution information and notification showing parent and child incidents were resolved.</w:t>
      </w:r>
    </w:p>
    <w:p w14:paraId="00C29616">
      <w:pPr>
        <w:jc w:val="center"/>
      </w:pPr>
      <w:r>
        <w:drawing>
          <wp:inline distT="0" distB="0" distL="114300" distR="114300">
            <wp:extent cx="5989320" cy="2967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rcRect t="7356" b="4489"/>
                    <a:stretch>
                      <a:fillRect/>
                    </a:stretch>
                  </pic:blipFill>
                  <pic:spPr>
                    <a:xfrm>
                      <a:off x="0" y="0"/>
                      <a:ext cx="5989320" cy="2967990"/>
                    </a:xfrm>
                    <a:prstGeom prst="rect">
                      <a:avLst/>
                    </a:prstGeom>
                  </pic:spPr>
                </pic:pic>
              </a:graphicData>
            </a:graphic>
          </wp:inline>
        </w:drawing>
      </w:r>
    </w:p>
    <w:p w14:paraId="78FA8BF0">
      <w:pPr>
        <w:jc w:val="center"/>
      </w:pPr>
      <w:r>
        <w:rPr>
          <w:i/>
          <w:sz w:val="18"/>
        </w:rPr>
        <w:t>Child incident INC00100005 showing resolution based on the parent incident.</w:t>
      </w:r>
    </w:p>
    <w:p w14:paraId="72F74779">
      <w:pPr>
        <w:pStyle w:val="3"/>
      </w:pPr>
      <w:r>
        <w:t>7.10 Knowledge Creation and SLA Validation</w:t>
      </w:r>
    </w:p>
    <w:p w14:paraId="4A2B3644">
      <w:r>
        <w:t>The project creates a reusable Knowledge Article from the incident and verifies knowledge through Related Records. Task SLA records are also visible under Related Records, providing response and resolution tracking.</w:t>
      </w:r>
    </w:p>
    <w:p w14:paraId="2FEBC140">
      <w:pPr>
        <w:jc w:val="center"/>
      </w:pPr>
      <w:r>
        <w:drawing>
          <wp:inline distT="0" distB="0" distL="114300" distR="114300">
            <wp:extent cx="5989320" cy="2983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rcRect t="6771" b="4602"/>
                    <a:stretch>
                      <a:fillRect/>
                    </a:stretch>
                  </pic:blipFill>
                  <pic:spPr>
                    <a:xfrm>
                      <a:off x="0" y="0"/>
                      <a:ext cx="5989320" cy="2983865"/>
                    </a:xfrm>
                    <a:prstGeom prst="rect">
                      <a:avLst/>
                    </a:prstGeom>
                  </pic:spPr>
                </pic:pic>
              </a:graphicData>
            </a:graphic>
          </wp:inline>
        </w:drawing>
      </w:r>
    </w:p>
    <w:p w14:paraId="64AE0FA7">
      <w:pPr>
        <w:jc w:val="center"/>
      </w:pPr>
      <w:r>
        <w:rPr>
          <w:i/>
          <w:sz w:val="18"/>
        </w:rPr>
        <w:t>Related Records view showing Task SLAs.</w:t>
      </w:r>
    </w:p>
    <w:p w14:paraId="0B875D9B">
      <w:pPr>
        <w:pStyle w:val="2"/>
      </w:pPr>
      <w:r>
        <w:t>8. Testing &amp; Deployment</w:t>
      </w:r>
    </w:p>
    <w:p w14:paraId="21407F3A">
      <w:r>
        <w:t>Testing &amp; Deployment is the final verification stage. It validates that the configured Incident, Change, Knowledge, Child Incident, SLA, escalation, and multi-team workflows operate together end-to-end.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C4C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vAlign w:val="center"/>
          </w:tcPr>
          <w:p w14:paraId="361165F3">
            <w:pPr>
              <w:spacing w:after="0" w:line="240" w:lineRule="auto"/>
            </w:pPr>
            <w:r>
              <w:rPr>
                <w:b/>
                <w:sz w:val="18"/>
              </w:rPr>
              <w:t>Test Area</w:t>
            </w:r>
          </w:p>
        </w:tc>
        <w:tc>
          <w:tcPr>
            <w:tcW w:w="3360" w:type="dxa"/>
            <w:shd w:val="clear" w:color="auto" w:fill="D9EAF7"/>
            <w:vAlign w:val="center"/>
          </w:tcPr>
          <w:p w14:paraId="7E89CC2A">
            <w:pPr>
              <w:spacing w:after="0" w:line="240" w:lineRule="auto"/>
            </w:pPr>
            <w:r>
              <w:rPr>
                <w:b/>
                <w:sz w:val="18"/>
              </w:rPr>
              <w:t>Validation</w:t>
            </w:r>
          </w:p>
        </w:tc>
        <w:tc>
          <w:tcPr>
            <w:tcW w:w="3360" w:type="dxa"/>
            <w:shd w:val="clear" w:color="auto" w:fill="D9EAF7"/>
            <w:vAlign w:val="center"/>
          </w:tcPr>
          <w:p w14:paraId="647328B0">
            <w:pPr>
              <w:spacing w:after="0" w:line="240" w:lineRule="auto"/>
            </w:pPr>
            <w:r>
              <w:rPr>
                <w:b/>
                <w:sz w:val="18"/>
              </w:rPr>
              <w:t>Evidence</w:t>
            </w:r>
          </w:p>
        </w:tc>
      </w:tr>
      <w:tr w14:paraId="4FAD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5336DD26">
            <w:pPr>
              <w:spacing w:after="0" w:line="240" w:lineRule="auto"/>
            </w:pPr>
            <w:r>
              <w:rPr>
                <w:b w:val="0"/>
                <w:sz w:val="18"/>
              </w:rPr>
              <w:t>Incident lifecycle</w:t>
            </w:r>
          </w:p>
        </w:tc>
        <w:tc>
          <w:tcPr>
            <w:tcW w:w="3360" w:type="dxa"/>
            <w:vAlign w:val="center"/>
          </w:tcPr>
          <w:p w14:paraId="4EE051A0">
            <w:pPr>
              <w:spacing w:after="0" w:line="240" w:lineRule="auto"/>
            </w:pPr>
            <w:r>
              <w:rPr>
                <w:b w:val="0"/>
                <w:sz w:val="18"/>
              </w:rPr>
              <w:t>State transitions and resolution</w:t>
            </w:r>
          </w:p>
        </w:tc>
        <w:tc>
          <w:tcPr>
            <w:tcW w:w="3360" w:type="dxa"/>
            <w:vAlign w:val="center"/>
          </w:tcPr>
          <w:p w14:paraId="7E9F0560">
            <w:pPr>
              <w:spacing w:after="0" w:line="240" w:lineRule="auto"/>
            </w:pPr>
            <w:r>
              <w:rPr>
                <w:b w:val="0"/>
                <w:sz w:val="18"/>
              </w:rPr>
              <w:t>Incident state/activity history</w:t>
            </w:r>
          </w:p>
        </w:tc>
      </w:tr>
      <w:tr w14:paraId="659F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6FBCDDB5">
            <w:pPr>
              <w:spacing w:after="0" w:line="240" w:lineRule="auto"/>
            </w:pPr>
            <w:r>
              <w:rPr>
                <w:b w:val="0"/>
                <w:sz w:val="18"/>
              </w:rPr>
              <w:t>Escalation</w:t>
            </w:r>
          </w:p>
        </w:tc>
        <w:tc>
          <w:tcPr>
            <w:tcW w:w="3360" w:type="dxa"/>
            <w:vAlign w:val="center"/>
          </w:tcPr>
          <w:p w14:paraId="2AB3D9C6">
            <w:pPr>
              <w:spacing w:after="0" w:line="240" w:lineRule="auto"/>
            </w:pPr>
            <w:r>
              <w:rPr>
                <w:b w:val="0"/>
                <w:sz w:val="18"/>
              </w:rPr>
              <w:t>Ownership and support-team changes</w:t>
            </w:r>
          </w:p>
        </w:tc>
        <w:tc>
          <w:tcPr>
            <w:tcW w:w="3360" w:type="dxa"/>
            <w:vAlign w:val="center"/>
          </w:tcPr>
          <w:p w14:paraId="35154DB7">
            <w:pPr>
              <w:spacing w:after="0" w:line="240" w:lineRule="auto"/>
            </w:pPr>
            <w:r>
              <w:rPr>
                <w:b w:val="0"/>
                <w:sz w:val="18"/>
              </w:rPr>
              <w:t>Assignment and activity</w:t>
            </w:r>
          </w:p>
        </w:tc>
      </w:tr>
      <w:tr w14:paraId="7F8C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vAlign w:val="center"/>
          </w:tcPr>
          <w:p w14:paraId="5A089BE0">
            <w:pPr>
              <w:spacing w:after="0" w:line="240" w:lineRule="auto"/>
            </w:pPr>
            <w:r>
              <w:rPr>
                <w:b w:val="0"/>
                <w:sz w:val="18"/>
              </w:rPr>
              <w:t>Change integration</w:t>
            </w:r>
          </w:p>
        </w:tc>
        <w:tc>
          <w:tcPr>
            <w:tcW w:w="3360" w:type="dxa"/>
            <w:vAlign w:val="center"/>
          </w:tcPr>
          <w:p w14:paraId="7479A3C6">
            <w:pPr>
              <w:spacing w:after="0" w:line="240" w:lineRule="auto"/>
            </w:pPr>
            <w:r>
              <w:rPr>
                <w:b w:val="0"/>
                <w:sz w:val="18"/>
              </w:rPr>
              <w:t>Emergency change related to incident</w:t>
            </w:r>
          </w:p>
        </w:tc>
        <w:tc>
          <w:tcPr>
            <w:tcW w:w="3360" w:type="dxa"/>
            <w:vAlign w:val="center"/>
          </w:tcPr>
          <w:p w14:paraId="2A42E4CD">
            <w:pPr>
              <w:spacing w:after="0" w:line="240" w:lineRule="auto"/>
            </w:pPr>
            <w:r>
              <w:rPr>
                <w:b w:val="0"/>
                <w:sz w:val="18"/>
              </w:rPr>
              <w:t>CHG/incident relationship</w:t>
            </w:r>
          </w:p>
        </w:tc>
      </w:tr>
      <w:tr w14:paraId="720F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9C09C42">
            <w:pPr>
              <w:spacing w:after="0" w:line="240" w:lineRule="auto"/>
            </w:pPr>
            <w:r>
              <w:rPr>
                <w:b w:val="0"/>
                <w:sz w:val="18"/>
              </w:rPr>
              <w:t>Knowledge creation</w:t>
            </w:r>
          </w:p>
        </w:tc>
        <w:tc>
          <w:tcPr>
            <w:tcW w:w="3360" w:type="dxa"/>
            <w:vAlign w:val="center"/>
          </w:tcPr>
          <w:p w14:paraId="141DDB2A">
            <w:pPr>
              <w:spacing w:after="0" w:line="240" w:lineRule="auto"/>
            </w:pPr>
            <w:r>
              <w:rPr>
                <w:b w:val="0"/>
                <w:sz w:val="18"/>
              </w:rPr>
              <w:t>Article created and visible</w:t>
            </w:r>
          </w:p>
        </w:tc>
        <w:tc>
          <w:tcPr>
            <w:tcW w:w="3360" w:type="dxa"/>
            <w:vAlign w:val="center"/>
          </w:tcPr>
          <w:p w14:paraId="576EE972">
            <w:pPr>
              <w:spacing w:after="0" w:line="240" w:lineRule="auto"/>
            </w:pPr>
            <w:r>
              <w:rPr>
                <w:b w:val="0"/>
                <w:sz w:val="18"/>
              </w:rPr>
              <w:t>Created/Attached Knowledge</w:t>
            </w:r>
          </w:p>
        </w:tc>
      </w:tr>
      <w:tr w14:paraId="0D21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4443539D">
            <w:pPr>
              <w:spacing w:after="0" w:line="240" w:lineRule="auto"/>
            </w:pPr>
            <w:r>
              <w:rPr>
                <w:b w:val="0"/>
                <w:sz w:val="18"/>
              </w:rPr>
              <w:t>Child incidents</w:t>
            </w:r>
          </w:p>
        </w:tc>
        <w:tc>
          <w:tcPr>
            <w:tcW w:w="3360" w:type="dxa"/>
            <w:vAlign w:val="center"/>
          </w:tcPr>
          <w:p w14:paraId="5F1A6149">
            <w:pPr>
              <w:spacing w:after="0" w:line="240" w:lineRule="auto"/>
            </w:pPr>
            <w:r>
              <w:rPr>
                <w:b w:val="0"/>
                <w:sz w:val="18"/>
              </w:rPr>
              <w:t>Child linked and resolved</w:t>
            </w:r>
          </w:p>
        </w:tc>
        <w:tc>
          <w:tcPr>
            <w:tcW w:w="3360" w:type="dxa"/>
            <w:vAlign w:val="center"/>
          </w:tcPr>
          <w:p w14:paraId="4D7C88E6">
            <w:pPr>
              <w:spacing w:after="0" w:line="240" w:lineRule="auto"/>
            </w:pPr>
            <w:r>
              <w:rPr>
                <w:b w:val="0"/>
                <w:sz w:val="18"/>
              </w:rPr>
              <w:t>INC00100005</w:t>
            </w:r>
          </w:p>
        </w:tc>
      </w:tr>
      <w:tr w14:paraId="3DA7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36EC8078">
            <w:pPr>
              <w:spacing w:after="0" w:line="240" w:lineRule="auto"/>
            </w:pPr>
            <w:r>
              <w:rPr>
                <w:b w:val="0"/>
                <w:sz w:val="18"/>
              </w:rPr>
              <w:t>SLA tracking</w:t>
            </w:r>
          </w:p>
        </w:tc>
        <w:tc>
          <w:tcPr>
            <w:tcW w:w="3360" w:type="dxa"/>
            <w:vAlign w:val="center"/>
          </w:tcPr>
          <w:p w14:paraId="4934BE92">
            <w:pPr>
              <w:spacing w:after="0" w:line="240" w:lineRule="auto"/>
            </w:pPr>
            <w:r>
              <w:rPr>
                <w:b w:val="0"/>
                <w:sz w:val="18"/>
              </w:rPr>
              <w:t>Response/resolution SLAs visible</w:t>
            </w:r>
          </w:p>
        </w:tc>
        <w:tc>
          <w:tcPr>
            <w:tcW w:w="3360" w:type="dxa"/>
            <w:vAlign w:val="center"/>
          </w:tcPr>
          <w:p w14:paraId="04580ACC">
            <w:pPr>
              <w:spacing w:after="0" w:line="240" w:lineRule="auto"/>
            </w:pPr>
            <w:r>
              <w:rPr>
                <w:b w:val="0"/>
                <w:sz w:val="18"/>
              </w:rPr>
              <w:t>Task SLAs</w:t>
            </w:r>
          </w:p>
        </w:tc>
      </w:tr>
      <w:tr w14:paraId="5F89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37C1031A">
            <w:pPr>
              <w:spacing w:after="0" w:line="240" w:lineRule="auto"/>
            </w:pPr>
            <w:r>
              <w:rPr>
                <w:b w:val="0"/>
                <w:sz w:val="18"/>
              </w:rPr>
              <w:t>Multi-team collaboration</w:t>
            </w:r>
          </w:p>
        </w:tc>
        <w:tc>
          <w:tcPr>
            <w:tcW w:w="3360" w:type="dxa"/>
            <w:vAlign w:val="center"/>
          </w:tcPr>
          <w:p w14:paraId="2AE2667E">
            <w:pPr>
              <w:spacing w:after="0" w:line="240" w:lineRule="auto"/>
            </w:pPr>
            <w:r>
              <w:rPr>
                <w:b w:val="0"/>
                <w:sz w:val="18"/>
              </w:rPr>
              <w:t>Activities traceable across teams</w:t>
            </w:r>
          </w:p>
        </w:tc>
        <w:tc>
          <w:tcPr>
            <w:tcW w:w="3360" w:type="dxa"/>
            <w:vAlign w:val="center"/>
          </w:tcPr>
          <w:p w14:paraId="72D60F37">
            <w:pPr>
              <w:spacing w:after="0" w:line="240" w:lineRule="auto"/>
            </w:pPr>
            <w:r>
              <w:rPr>
                <w:b w:val="0"/>
                <w:sz w:val="18"/>
              </w:rPr>
              <w:t>Assignment/activity history</w:t>
            </w:r>
          </w:p>
        </w:tc>
      </w:tr>
    </w:tbl>
    <w:p w14:paraId="7ABF00CC">
      <w:pPr>
        <w:pStyle w:val="2"/>
      </w:pPr>
      <w:r>
        <w:t>9. Results and Evidence</w:t>
      </w:r>
    </w:p>
    <w:p w14:paraId="6C942D2B">
      <w:pPr>
        <w:pStyle w:val="23"/>
        <w:spacing w:after="40"/>
      </w:pPr>
      <w:r>
        <w:t>Corporate VPN service offering is configured under Remote Access.</w:t>
      </w:r>
    </w:p>
    <w:p w14:paraId="27A39128">
      <w:pPr>
        <w:pStyle w:val="23"/>
        <w:spacing w:after="40"/>
      </w:pPr>
      <w:r>
        <w:t>VPN incident INC00100004 contains structured incident data and activity history.</w:t>
      </w:r>
    </w:p>
    <w:p w14:paraId="3B706A81">
      <w:pPr>
        <w:pStyle w:val="23"/>
        <w:spacing w:after="40"/>
      </w:pPr>
      <w:r>
        <w:t>Incident classification and assignment changes are recorded.</w:t>
      </w:r>
    </w:p>
    <w:p w14:paraId="5B0739B8">
      <w:pPr>
        <w:pStyle w:val="23"/>
        <w:spacing w:after="40"/>
      </w:pPr>
      <w:r>
        <w:t>Knowledge guidance is referenced in the incident workflow.</w:t>
      </w:r>
    </w:p>
    <w:p w14:paraId="20BC2202">
      <w:pPr>
        <w:pStyle w:val="23"/>
        <w:spacing w:after="40"/>
      </w:pPr>
      <w:r>
        <w:t>The incident can be placed On Hold with Awaiting Change.</w:t>
      </w:r>
    </w:p>
    <w:p w14:paraId="70166EAB">
      <w:pPr>
        <w:pStyle w:val="23"/>
        <w:spacing w:after="40"/>
      </w:pPr>
      <w:r>
        <w:t>Resolution notes document the corrective action performed under an emergency change.</w:t>
      </w:r>
    </w:p>
    <w:p w14:paraId="327AEF8D">
      <w:pPr>
        <w:pStyle w:val="23"/>
        <w:spacing w:after="40"/>
      </w:pPr>
      <w:r>
        <w:t>Parent and child incident resolution behavior is demonstrated.</w:t>
      </w:r>
    </w:p>
    <w:p w14:paraId="0A3C83C3">
      <w:pPr>
        <w:pStyle w:val="23"/>
        <w:spacing w:after="40"/>
      </w:pPr>
      <w:r>
        <w:t>Task SLA records are visible in Related Records.</w:t>
      </w:r>
    </w:p>
    <w:p w14:paraId="7C44AB13">
      <w:pPr>
        <w:pStyle w:val="2"/>
      </w:pPr>
      <w:r>
        <w:t>10. Conclusion</w:t>
      </w:r>
    </w:p>
    <w:p w14:paraId="6FC89E90">
      <w:r>
        <w:t>The Incident Lifecycle Automation project demonstrates how ServiceNow can standardize and automate the complete incident-management journey. Service Desk agents can log and classify incidents, use knowledge for faster resolution, reassign work to Level 2 teams, manage child incidents, initiate emergency changes, track SLAs, and document final resolution.</w:t>
      </w:r>
    </w:p>
    <w:p w14:paraId="63734FA4">
      <w:r>
        <w:t>The integration between Incident, Change, and Knowledge capabilities creates a structured and traceable process, improving service visibility, supporting SLA adherence, and providing better IT service delivery.</w:t>
      </w:r>
    </w:p>
    <w:p w14:paraId="3F98316C">
      <w:pPr>
        <w:pStyle w:val="2"/>
      </w:pPr>
      <w:r>
        <w:t>11. Skills Demonstrated</w:t>
      </w:r>
    </w:p>
    <w:p w14:paraId="2A9D48BF">
      <w:pPr>
        <w:pStyle w:val="23"/>
        <w:spacing w:after="40"/>
      </w:pPr>
      <w:r>
        <w:t>ServiceNow Incident Management</w:t>
      </w:r>
    </w:p>
    <w:p w14:paraId="27B8F11D">
      <w:pPr>
        <w:pStyle w:val="23"/>
        <w:spacing w:after="40"/>
      </w:pPr>
      <w:r>
        <w:t>Service Operations Workspace</w:t>
      </w:r>
    </w:p>
    <w:p w14:paraId="04BF6438">
      <w:pPr>
        <w:pStyle w:val="23"/>
        <w:spacing w:after="40"/>
      </w:pPr>
      <w:r>
        <w:t>Incident classification and prioritization</w:t>
      </w:r>
    </w:p>
    <w:p w14:paraId="2484B693">
      <w:pPr>
        <w:pStyle w:val="23"/>
        <w:spacing w:after="40"/>
      </w:pPr>
      <w:r>
        <w:t>Assignment and escalation</w:t>
      </w:r>
    </w:p>
    <w:p w14:paraId="27A82252">
      <w:pPr>
        <w:pStyle w:val="23"/>
        <w:spacing w:after="40"/>
      </w:pPr>
      <w:r>
        <w:t>Agent Assist / Knowledge integration</w:t>
      </w:r>
    </w:p>
    <w:p w14:paraId="0F702465">
      <w:pPr>
        <w:pStyle w:val="23"/>
        <w:spacing w:after="40"/>
      </w:pPr>
      <w:r>
        <w:t>Knowledge Article creation</w:t>
      </w:r>
    </w:p>
    <w:p w14:paraId="03555376">
      <w:pPr>
        <w:pStyle w:val="23"/>
        <w:spacing w:after="40"/>
      </w:pPr>
      <w:r>
        <w:t>Change Management integration</w:t>
      </w:r>
    </w:p>
    <w:p w14:paraId="29F5DD6D">
      <w:pPr>
        <w:pStyle w:val="23"/>
        <w:spacing w:after="40"/>
      </w:pPr>
      <w:r>
        <w:t>Child incident management</w:t>
      </w:r>
    </w:p>
    <w:p w14:paraId="02FE466D">
      <w:pPr>
        <w:pStyle w:val="23"/>
        <w:spacing w:after="40"/>
      </w:pPr>
      <w:r>
        <w:t>Related Lists and task relationships</w:t>
      </w:r>
    </w:p>
    <w:p w14:paraId="3955300E">
      <w:pPr>
        <w:pStyle w:val="23"/>
        <w:spacing w:after="40"/>
      </w:pPr>
      <w:r>
        <w:t>SLA tracking and validation</w:t>
      </w:r>
    </w:p>
    <w:p w14:paraId="7EA23CAF">
      <w:pPr>
        <w:pStyle w:val="23"/>
        <w:spacing w:after="40"/>
      </w:pPr>
      <w:r>
        <w:t>Incident resolution and activity auditing</w:t>
      </w:r>
    </w:p>
    <w:p w14:paraId="6858C2CE">
      <w:pPr>
        <w:pStyle w:val="23"/>
        <w:spacing w:after="40"/>
      </w:pPr>
      <w:r>
        <w:t>End-to-end workflow testing</w:t>
      </w:r>
    </w:p>
    <w:p w14:paraId="5555BA6E">
      <w:pPr>
        <w:jc w:val="center"/>
      </w:pPr>
    </w:p>
    <w:p w14:paraId="09366EE5">
      <w:pPr>
        <w:jc w:val="center"/>
      </w:pPr>
    </w:p>
    <w:p w14:paraId="6209B952">
      <w:pPr>
        <w:jc w:val="center"/>
      </w:pPr>
    </w:p>
    <w:p w14:paraId="08EA4B9E">
      <w:pPr>
        <w:jc w:val="center"/>
      </w:pPr>
    </w:p>
    <w:p w14:paraId="3F93CE56">
      <w:pPr>
        <w:jc w:val="center"/>
      </w:pPr>
    </w:p>
    <w:p w14:paraId="6C80D153">
      <w:pPr>
        <w:jc w:val="center"/>
      </w:pPr>
    </w:p>
    <w:p w14:paraId="0E7B1B76">
      <w:pPr>
        <w:jc w:val="both"/>
      </w:pPr>
    </w:p>
    <w:p w14:paraId="5E387E6A">
      <w:pPr>
        <w:jc w:val="center"/>
      </w:pPr>
    </w:p>
    <w:p w14:paraId="043C5C5B">
      <w:pPr>
        <w:jc w:val="both"/>
      </w:pPr>
    </w:p>
    <w:p w14:paraId="39CBE4C9">
      <w:pPr>
        <w:jc w:val="center"/>
      </w:pP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AF4A6">
    <w:pPr>
      <w:pStyle w:val="18"/>
      <w:jc w:val="center"/>
    </w:pPr>
    <w:r>
      <w:rPr>
        <w:sz w:val="16"/>
      </w:rPr>
      <w:t>Incident Lifecycle Automation in ServiceNow | Uppugandla Manjeera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18AA"/>
    <w:rsid w:val="0015074B"/>
    <w:rsid w:val="0029639D"/>
    <w:rsid w:val="00326F90"/>
    <w:rsid w:val="00AA1D8D"/>
    <w:rsid w:val="00B47730"/>
    <w:rsid w:val="00CB0664"/>
    <w:rsid w:val="00FC693F"/>
    <w:rsid w:val="021D391B"/>
    <w:rsid w:val="03E13EF3"/>
    <w:rsid w:val="18CB216F"/>
    <w:rsid w:val="22060F97"/>
    <w:rsid w:val="282249EF"/>
    <w:rsid w:val="2A7F4FF2"/>
    <w:rsid w:val="3E42109B"/>
    <w:rsid w:val="412F1132"/>
    <w:rsid w:val="4BE9528C"/>
    <w:rsid w:val="4E34003E"/>
    <w:rsid w:val="501E106D"/>
    <w:rsid w:val="5B3D6156"/>
    <w:rsid w:val="5C861E69"/>
    <w:rsid w:val="5CAC7D1A"/>
    <w:rsid w:val="7C1C08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1477</Words>
  <Characters>9895</Characters>
  <Lines>0</Lines>
  <Paragraphs>0</Paragraphs>
  <TotalTime>4</TotalTime>
  <ScaleCrop>false</ScaleCrop>
  <LinksUpToDate>false</LinksUpToDate>
  <CharactersWithSpaces>11164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Manjeera Uppugandla</cp:lastModifiedBy>
  <dcterms:modified xsi:type="dcterms:W3CDTF">2026-08-25T01:50:20Z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eyJoZGlkIjoiNWIyMzQ2N2MzZmY2ZDVkMzRlMmQzNjI5NjNmZjIzN2UiLCJ1c2VySWQiOiI1Njc1MjU0MTc2NjQifQ==</vt:lpwstr>
  </property>
  <property fmtid="{D5CDD505-2E9C-101B-9397-08002B2CF9AE}" pid="3" name="KSOProductBuildVer">
    <vt:lpwstr>1033-12.1.0.28032</vt:lpwstr>
  </property>
  <property fmtid="{D5CDD505-2E9C-101B-9397-08002B2CF9AE}" pid="4" name="ICV">
    <vt:lpwstr>6A1F25308A98433BB236F8A5ABD5FB03_12</vt:lpwstr>
  </property>
</Properties>
</file>