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ADR-029</w:t>
      </w:r>
    </w:p>
    <w:p>
      <w:pPr>
        <w:spacing w:after="160"/>
      </w:pPr>
      <w:r>
        <w:rPr>
          <w:color w:val="666666"/>
          <w:sz w:val="28"/>
          <w:szCs w:val="28"/>
        </w:rPr>
        <w:t xml:space="preserve">Audit Table (agent_actions)</w:t>
      </w:r>
    </w:p>
    <w:p>
      <w:pPr>
        <w:pBdr>
          <w:top w:val="single" w:color="C00000" w:sz="6"/>
          <w:bottom w:val="single" w:color="C00000" w:sz="6"/>
          <w:left w:val="single" w:color="C00000" w:sz="6"/>
          <w:right w:val="single" w:color="C00000" w:sz="6"/>
        </w:pBdr>
        <w:shd w:fill="FFF2CC" w:val="clear"/>
        <w:spacing w:after="240" w:before="120"/>
      </w:pPr>
      <w:r>
        <w:rPr>
          <w:b/>
          <w:bCs/>
          <w:color w:val="C00000"/>
          <w:sz w:val="20"/>
          <w:szCs w:val="20"/>
        </w:rPr>
        <w:t xml:space="preserve">THIS IS A STUB, NOT AN ORIGINAL DOCUMENT. It contains only fragments recovered by cross-reference from other documents and live code/changelog citations. The original ADR text, full rationale, and decision date were not located anywhere checked. If the original is ever found, it supersedes this stub in full. See “What Is NOT Known” below.</w:t>
      </w:r>
    </w:p>
    <w:p>
      <w:pPr>
        <w:pStyle w:val="Heading1"/>
        <w:spacing w:after="140" w:before="280"/>
      </w:pPr>
      <w:r>
        <w:t xml:space="preserve">1.  Decision Record (Stub)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Mar>
              <w:top w:type="dxa" w:w="80"/>
              <w:left w:type="dxa" w:w="100"/>
              <w:bottom w:type="dxa" w:w="80"/>
              <w:right w:type="dxa" w:w="100"/>
            </w:tcMar>
          </w:tcPr>
          <w:p>
            <w:r>
              <w:rPr>
                <w:b/>
                <w:bCs/>
              </w:rPr>
              <w:t xml:space="preserve">ADR Number</w:t>
            </w:r>
          </w:p>
        </w:tc>
        <w:tc>
          <w:tcPr>
            <w:tcW w:type="dxa" w:w="6800"/>
            <w:tcMar>
              <w:top w:type="dxa" w:w="80"/>
              <w:left w:type="dxa" w:w="100"/>
              <w:bottom w:type="dxa" w:w="80"/>
              <w:right w:type="dxa" w:w="100"/>
            </w:tcMar>
          </w:tcPr>
          <w:p>
            <w:r>
              <w:t xml:space="preserve">ADR-029</w:t>
            </w:r>
          </w:p>
        </w:tc>
      </w:tr>
      <w:tr>
        <w:tc>
          <w:tcPr>
            <w:tcW w:type="dxa" w:w="2200"/>
            <w:shd w:fill="D9E2F3" w:val="clear"/>
            <w:tcMar>
              <w:top w:type="dxa" w:w="80"/>
              <w:left w:type="dxa" w:w="100"/>
              <w:bottom w:type="dxa" w:w="80"/>
              <w:right w:type="dxa" w:w="100"/>
            </w:tcMar>
          </w:tcPr>
          <w:p>
            <w:r>
              <w:rPr>
                <w:b/>
                <w:bCs/>
              </w:rPr>
              <w:t xml:space="preserve">Title</w:t>
            </w:r>
          </w:p>
        </w:tc>
        <w:tc>
          <w:tcPr>
            <w:tcW w:type="dxa" w:w="6800"/>
            <w:tcMar>
              <w:top w:type="dxa" w:w="80"/>
              <w:left w:type="dxa" w:w="100"/>
              <w:bottom w:type="dxa" w:w="80"/>
              <w:right w:type="dxa" w:w="100"/>
            </w:tcMar>
          </w:tcPr>
          <w:p>
            <w:r>
              <w:t xml:space="preserve">Audit Table (agent_actions)</w:t>
            </w:r>
          </w:p>
        </w:tc>
      </w:tr>
      <w:tr>
        <w:tc>
          <w:tcPr>
            <w:tcW w:type="dxa" w:w="2200"/>
            <w:shd w:fill="D9E2F3" w:val="clear"/>
            <w:tcMar>
              <w:top w:type="dxa" w:w="80"/>
              <w:left w:type="dxa" w:w="100"/>
              <w:bottom w:type="dxa" w:w="80"/>
              <w:right w:type="dxa" w:w="100"/>
            </w:tcMar>
          </w:tcPr>
          <w:p>
            <w:r>
              <w:rPr>
                <w:b/>
                <w:bCs/>
              </w:rPr>
              <w:t xml:space="preserve">Status</w:t>
            </w:r>
          </w:p>
        </w:tc>
        <w:tc>
          <w:tcPr>
            <w:tcW w:type="dxa" w:w="6800"/>
            <w:tcMar>
              <w:top w:type="dxa" w:w="80"/>
              <w:left w:type="dxa" w:w="100"/>
              <w:bottom w:type="dxa" w:w="80"/>
              <w:right w:type="dxa" w:w="100"/>
            </w:tcMar>
          </w:tcPr>
          <w:p>
            <w:r>
              <w:t xml:space="preserve">STUB — fragments only, original not recovered. AMENDED September 29, 2026 (Entries #045–#047) — see Section 5. The amendments are operator decisions recorded against this stub; if the original is recovered, they carry forward to it.</w:t>
            </w:r>
          </w:p>
        </w:tc>
      </w:tr>
      <w:tr>
        <w:tc>
          <w:tcPr>
            <w:tcW w:type="dxa" w:w="2200"/>
            <w:shd w:fill="D9E2F3" w:val="clear"/>
            <w:tcMar>
              <w:top w:type="dxa" w:w="80"/>
              <w:left w:type="dxa" w:w="100"/>
              <w:bottom w:type="dxa" w:w="80"/>
              <w:right w:type="dxa" w:w="100"/>
            </w:tcMar>
          </w:tcPr>
          <w:p>
            <w:r>
              <w:rPr>
                <w:b/>
                <w:bCs/>
              </w:rPr>
              <w:t xml:space="preserve">Deciders</w:t>
            </w:r>
          </w:p>
        </w:tc>
        <w:tc>
          <w:tcPr>
            <w:tcW w:type="dxa" w:w="6800"/>
            <w:tcMar>
              <w:top w:type="dxa" w:w="80"/>
              <w:left w:type="dxa" w:w="100"/>
              <w:bottom w:type="dxa" w:w="80"/>
              <w:right w:type="dxa" w:w="100"/>
            </w:tcMar>
          </w:tcPr>
          <w:p>
            <w:r>
              <w:t xml:space="preserve">Sheldon Wheeler (owner, sole operator) — presumed, not confirmed for this stub</w:t>
            </w:r>
          </w:p>
        </w:tc>
      </w:tr>
      <w:tr>
        <w:tc>
          <w:tcPr>
            <w:tcW w:type="dxa" w:w="2200"/>
            <w:shd w:fill="D9E2F3" w:val="clear"/>
            <w:tcMar>
              <w:top w:type="dxa" w:w="80"/>
              <w:left w:type="dxa" w:w="100"/>
              <w:bottom w:type="dxa" w:w="80"/>
              <w:right w:type="dxa" w:w="100"/>
            </w:tcMar>
          </w:tcPr>
          <w:p>
            <w:r>
              <w:rPr>
                <w:b/>
                <w:bCs/>
              </w:rPr>
              <w:t xml:space="preserve">Stub Created</w:t>
            </w:r>
          </w:p>
        </w:tc>
        <w:tc>
          <w:tcPr>
            <w:tcW w:type="dxa" w:w="6800"/>
            <w:tcMar>
              <w:top w:type="dxa" w:w="80"/>
              <w:left w:type="dxa" w:w="100"/>
              <w:bottom w:type="dxa" w:w="80"/>
              <w:right w:type="dxa" w:w="100"/>
            </w:tcMar>
          </w:tcPr>
          <w:p>
            <w:r>
              <w:t xml:space="preserve">2026-08-23</w:t>
            </w:r>
          </w:p>
        </w:tc>
      </w:tr>
      <w:tr>
        <w:tc>
          <w:tcPr>
            <w:tcW w:type="dxa" w:w="2200"/>
            <w:shd w:fill="D9E2F3" w:val="clear"/>
            <w:tcMar>
              <w:top w:type="dxa" w:w="80"/>
              <w:left w:type="dxa" w:w="100"/>
              <w:bottom w:type="dxa" w:w="80"/>
              <w:right w:type="dxa" w:w="100"/>
            </w:tcMar>
          </w:tcPr>
          <w:p>
            <w:r>
              <w:rPr>
                <w:b/>
                <w:bCs/>
              </w:rPr>
              <w:t xml:space="preserve">Supersedes</w:t>
            </w:r>
          </w:p>
        </w:tc>
        <w:tc>
          <w:tcPr>
            <w:tcW w:type="dxa" w:w="6800"/>
            <w:tcMar>
              <w:top w:type="dxa" w:w="80"/>
              <w:left w:type="dxa" w:w="100"/>
              <w:bottom w:type="dxa" w:w="80"/>
              <w:right w:type="dxa" w:w="100"/>
            </w:tcMar>
          </w:tcPr>
          <w:p>
            <w:r>
              <w:t xml:space="preserve">None. If the original ADR is located, it supersedes this stub.</w:t>
            </w:r>
          </w:p>
        </w:tc>
      </w:tr>
    </w:tbl>
    <w:p>
      <w:pPr>
        <w:spacing w:after="200"/>
      </w:pPr>
    </w:p>
    <w:p>
      <w:pPr>
        <w:pStyle w:val="Heading1"/>
        <w:spacing w:after="140" w:before="280"/>
      </w:pPr>
      <w:r>
        <w:t xml:space="preserve">2.  What Is Known</w:t>
      </w:r>
    </w:p>
    <w:p>
      <w:pPr>
        <w:pStyle w:val="ListParagraph"/>
        <w:numPr>
          <w:ilvl w:val="0"/>
          <w:numId w:val="1"/>
        </w:numPr>
        <w:spacing w:after="80"/>
      </w:pPr>
      <w:r>
        <w:t xml:space="preserve">schema.sql line 4: “-- ADR-029: agent_actions (partitioned, with input_tokens/output_tokens per ADR-035)” and line 129–130: “-- 5. AGENT_ACTIONS (ADR-029 + ADR-035 §4.4, §9) -- Partitioned audit table with input/output token split”.</w:t>
      </w:r>
    </w:p>
    <w:p>
      <w:pPr>
        <w:pStyle w:val="ListParagraph"/>
        <w:numPr>
          <w:ilvl w:val="0"/>
          <w:numId w:val="1"/>
        </w:numPr>
        <w:spacing w:after="80"/>
      </w:pPr>
      <w:r>
        <w:t xml:space="preserve">schema_version row (schema.sql line 454) lists ADR-029 among the ADRs the current baseline schema (version 7) implements.</w:t>
      </w:r>
    </w:p>
    <w:p>
      <w:pPr>
        <w:pStyle w:val="ListParagraph"/>
        <w:numPr>
          <w:ilvl w:val="0"/>
          <w:numId w:val="1"/>
        </w:numPr>
        <w:spacing w:after="80"/>
      </w:pPr>
      <w:r>
        <w:t xml:space="preserve">Last night's recovery adds: 90-day retention, monthly partition, DROP PARTITION after 90 days (Mac Mini project capture) — consistent with the “partitioned” description in schema.sql but the specific retention/partition numbers were not independently re-verified against schema.sql's actual DDL in this session.</w:t>
      </w:r>
    </w:p>
    <w:p>
      <w:pPr>
        <w:pStyle w:val="Heading1"/>
        <w:spacing w:after="140" w:before="280"/>
      </w:pPr>
      <w:r>
        <w:t xml:space="preserve">3.  What Is NOT Known</w:t>
      </w:r>
    </w:p>
    <w:p>
      <w:pPr>
        <w:pStyle w:val="ListParagraph"/>
        <w:numPr>
          <w:ilvl w:val="0"/>
          <w:numId w:val="1"/>
        </w:numPr>
        <w:spacing w:after="80"/>
      </w:pPr>
      <w:r>
        <w:t xml:space="preserve">Full original decision text and rationale; whether the 90-day/monthly-partition figures exactly match the live DDL (not re-verified this session).</w:t>
      </w:r>
    </w:p>
    <w:p>
      <w:pPr>
        <w:pStyle w:val="Heading1"/>
        <w:spacing w:after="140" w:before="280"/>
      </w:pPr>
      <w:r>
        <w:t xml:space="preserve">4.  Sources</w:t>
      </w:r>
    </w:p>
    <w:p>
      <w:pPr>
        <w:pStyle w:val="ListParagraph"/>
        <w:numPr>
          <w:ilvl w:val="0"/>
          <w:numId w:val="1"/>
        </w:numPr>
        <w:spacing w:after="80"/>
      </w:pPr>
      <w:r>
        <w:t xml:space="preserve">schema.sql, lines 4, 129–130, 454, read directly 2026-08-23.</w:t>
      </w:r>
    </w:p>
    <w:p>
      <w:pPr>
        <w:pStyle w:val="ListParagraph"/>
        <w:numPr>
          <w:ilvl w:val="0"/>
          <w:numId w:val="1"/>
        </w:numPr>
        <w:spacing w:after="80"/>
      </w:pPr>
      <w:r>
        <w:t xml:space="preserve">Mac Mini Claude.ai project instructions/memory, captured 2026-08-22 — retention/partition figures, not re-verified against DDL this session.</w:t>
      </w:r>
    </w:p>
    <w:p>
      <w:pPr>
        <w:spacing w:before="400"/>
      </w:pPr>
    </w:p>
    <w:p>
      <w:pPr>
        <w:pStyle w:val="Heading1"/>
        <w:spacing w:after="140" w:before="280"/>
      </w:pPr>
      <w:r>
        <w:t xml:space="preserve">5.  Amendments — September 29, 2026</w:t>
      </w:r>
    </w:p>
    <w:p>
      <w:pPr>
        <w:spacing w:after="120"/>
      </w:pPr>
      <w:r>
        <w:rPr>
          <w:b/>
          <w:bCs/>
        </w:rPr>
        <w:t xml:space="preserve">5.1  AU-5 — response to audit logging failure (operator decision, Entry #046)</w:t>
      </w:r>
    </w:p>
    <w:p>
      <w:pPr>
        <w:spacing w:after="120"/>
      </w:pPr>
      <w:r>
        <w:t xml:space="preserve">An agent_actions write failure must not fail the request, and the operator must not have to review each failure by hand. This replaces the behaviour previously implemented in app/audit.py, where a failed insert raised and took the /agent request down with it.</w:t>
      </w:r>
    </w:p>
    <w:p>
      <w:pPr>
        <w:pStyle w:val="ListParagraph"/>
        <w:numPr>
          <w:ilvl w:val="0"/>
          <w:numId w:val="1"/>
        </w:numPr>
        <w:spacing w:after="80"/>
      </w:pPr>
      <w:r>
        <w:t xml:space="preserve">write_action() never raises. A failed insert is appended to a JSONL spool on the host (~/openclaw/spool/audit_spool.jsonl, mounted into the container so it survives rebuilds; excluded from Git) and logged once at ERROR.</w:t>
      </w:r>
    </w:p>
    <w:p>
      <w:pPr>
        <w:pStyle w:val="ListParagraph"/>
        <w:numPr>
          <w:ilvl w:val="0"/>
          <w:numId w:val="1"/>
        </w:numPr>
        <w:spacing w:after="80"/>
      </w:pPr>
      <w:r>
        <w:t xml:space="preserve">The next successful write replays the spool automatically. Inserts use ON CONFLICT (action_id, created_at) DO NOTHING, so a record can never be written twice.</w:t>
      </w:r>
    </w:p>
    <w:p>
      <w:pPr>
        <w:pStyle w:val="ListParagraph"/>
        <w:numPr>
          <w:ilvl w:val="0"/>
          <w:numId w:val="1"/>
        </w:numPr>
        <w:spacing w:after="80"/>
      </w:pPr>
      <w:r>
        <w:t xml:space="preserve">A record is lost only if both the database and the spool fail; that is logged at CRITICAL. Spool growth is the escalation signal, checked at session start — not a manual review queue.</w:t>
      </w:r>
    </w:p>
    <w:p>
      <w:pPr>
        <w:pStyle w:val="ListParagraph"/>
        <w:numPr>
          <w:ilvl w:val="0"/>
          <w:numId w:val="1"/>
        </w:numPr>
        <w:spacing w:after="80"/>
      </w:pPr>
      <w:r>
        <w:t xml:space="preserve">Rationale: availability with automatic recovery, rather than completeness by blocking. The “one audit row per request” intent is preserved; only the timing of the write can be deferred.</w:t>
      </w:r>
    </w:p>
    <w:p>
      <w:pPr>
        <w:spacing w:after="120"/>
      </w:pPr>
      <w:r>
        <w:rPr>
          <w:b/>
          <w:bCs/>
        </w:rPr>
        <w:t xml:space="preserve">5.2  Partitions (Entry #045 — ADR-046 F7)</w:t>
      </w:r>
    </w:p>
    <w:p>
      <w:pPr>
        <w:spacing w:after="120"/>
      </w:pPr>
      <w:r>
        <w:t xml:space="preserve">The live table held monthly partitions for April–July 2026 only, with no DEFAULT partition. From August 1, 2026 every insert failed. migration_007.sql (schema version 7 → 8) added monthly partitions through December 2027 and a DEFAULT partition. Root cause, confirmed from ADR-035 §9: partitions were to be “created monthly by the nightly maintenance job”, and that job was never built.</w:t>
      </w:r>
    </w:p>
    <w:p>
      <w:pPr>
        <w:spacing w:after="120"/>
      </w:pPr>
      <w:r>
        <w:rPr>
          <w:b/>
          <w:bCs/>
        </w:rPr>
        <w:t xml:space="preserve">5.3  Finding — 90-day retention not enforced (Entry #047)</w:t>
      </w:r>
    </w:p>
    <w:p>
      <w:pPr>
        <w:spacing w:after="120"/>
      </w:pPr>
      <w:r>
        <w:t xml:space="preserve">Section 2 records a 90-day retention policy; ADR-035 §9.4 implements it as a monthly DROP PARTITION “run monthly by cron under dev account”. No such job exists on this host, and the dev account does not exist (ADR-046 F5). Rows from April and May 2026 remain in agent_actions beyond 90 days. Severity LOW: over-retention of local audit records, no loss of evidence. Remediation — a scheduled maintenance job that drops expired partitions and creates the next ones — is pending operator approval, and must first check agent_actions_default for rows in any range it is about to create.</w:t>
      </w:r>
    </w:p>
    <w:p>
      <w:pPr>
        <w:spacing w:after="160"/>
      </w:pPr>
      <w:r>
        <w:rPr>
          <w:i/>
          <w:iCs/>
          <w:color w:val="666666"/>
          <w:sz w:val="18"/>
          <w:szCs w:val="18"/>
        </w:rPr>
        <w:t xml:space="preserve">Stub built 2026-08-23 as part of the ADR corpus reconciliation. See ADR_Corpus_Inventory_2026-08-23.xlsx and ADR_Reconciliation_Plan_2026-08-23.docx (both in adr_fragments_2026-08-22/reconciliation_2026-08-23/) for full context.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ADR-029 — STUB (partial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2026-08-23T12:14:45.945Z</dcterms:created>
  <dcterms:modified xsi:type="dcterms:W3CDTF">2026-08-23T12:14:45.945Z</dcterms:modified>
</cp:coreProperties>
</file>

<file path=docProps/custom.xml><?xml version="1.0" encoding="utf-8"?>
<Properties xmlns="http://schemas.openxmlformats.org/officeDocument/2006/custom-properties" xmlns:vt="http://schemas.openxmlformats.org/officeDocument/2006/docPropsVTypes"/>
</file>