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ADR-044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Supersession of ADR-036 — GPU VRAM Allocation Policy Withdrawn</w:t>
      </w:r>
    </w:p>
    <w:p>
      <w:pPr>
        <w:pBdr>
          <w:bottom w:val="single" w:color="1F3864" w:sz="6" w:space="8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OpenClaw — Phase 1    |    Decided September 20, 2026    |    Status DECIDED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 Decision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 Number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ADR-044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Supersession of ADR-036 — GPU VRAM Allocation Policy Withdrawn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DECIDED — September 20, 2026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Deciders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Sheldon Wheeler (owner, sole operator)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ADR-036 — GPU VRAM Allocation Policy (DECIDED April 4, 2026)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 References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ADR-043 (production host platform — establishes the hardware reality this supersession follows from); ADR-033 (threshold amendment referenced by ADR-036 §7); ADR-031 (change management)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NIST Controls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 — CM-3 (Configuration Change Control), CM-8 (System Component Inventory), SA-2 (Allocation of Resources). Verify against NIST SP 800-53 Rev. 5 before treating as authoritative.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Scope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— governance only. No implementation, no rollback, no system change required.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 Problem Statement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ADR-036 (DECIDED, April 4, 2026) established a GPU VRAM allocation policy applying iogpu.wired_limit_mb at boot through a root LaunchDaemon at /Library/LaunchDaemons/com.openclaw.iogpu.wired_limit.plist. It specified two fully-defined configurations and directed the operator to select the applicable row on setup day based on hardware purchased.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hardware was never purchased. ADR-043 (September 20, 2026) records the decision that no dedicated host will be acquired and that the production platform is, and remains, a 16 GB MacBook Air.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ADR-036 therefore fails on two independent grounds, either of which is sufficient: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Allocation values. The policy defines 28672 MB for a 32 GB host and 58982 MB for a 64 GB host. Neither applies to 16 GB. There is no row to select.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Operating premise. Section 4 states the reserve values 'reflect a headless server profile. No GUI applications, no display server workload, and no interactive user sessions run under the openclaw account.' The production host runs a full interactive GUI session as the operator's personal laptop. The premise is false, not merely mis-parameterised — so the policy could not be rescued by substituting a 16 GB value.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defect was found incidentally on September 20, 2026 while ADR-036 was being read as a formatting reference for ADR-043, not by any audit.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 Verification Performed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Before deciding, the live state was checked rather than assumed: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59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sysctl iogpu.wired_limit_mb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— macOS default. No explicit limit is set.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hw.memsize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GB total — neither specified configuration applies.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LaunchDaemon was never installed. ADR-036 was written on setup day for a machine that did not arrive, and no part of it ever took effect. This is therefore a documentation correction, not a remediation: there is no misconfiguration to unwind and no rollback to perform.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Note on method: the plist path /Library/LaunchDaemons is not listed in DATA_BOUNDARIES.md Section 1 and is prohibited by default, so it was not inspected directly. The sysctl read establishes the same fact without a filesystem access, because a loaded daemon would necessarily show a non-zero value. See ADR-045 for why this distinction is being taken seriously.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 Decision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ADR-036 is SUPERSEDED. No manual GPU VRAM allocation policy applies to the production host. Ollama operates under macOS default unified-memory management.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ADR_036.docx has been marked SUPERSEDED in the document itself, carrying a DO NOT IMPLEMENT banner and a pointer to this ADR, so that a reader who opens that file alone is not misled into executing it. The document is retained rather than deleted — it remains the historical record of a decision properly made under assumptions that later proved false.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 Technical Rationale — why no replacement policy is issued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Raising iogpu.wired_limit_mb on the current host would be actively harmful, not merely unnecessary.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value governs how much unified memory the GPU may wire. On a 16 GB machine running a full desktop session, four Docker containers, and a 9.6 GB model, the memory ADR-036's logic would hand to the GPU is memory macOS needs for everything else. The result is swap pressure — precisely the failure mode ADR-036 Section 4 itself warns about when it instructs the operator to reduce the value if memory pressure turns yellow or red.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headless profile that justified an 87.5–90% allocation does not exist here. macOS defaults are tuned for exactly this situation — a shared, interactive machine — and are the correct policy. Issuing a 16 GB allocation number would be substituting a worse judgement for the operating system's.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genuine memory constraint on this host is addressed in ADR-043: the four Docker containers share the same 16 GB as the model, which is what holds NUM_CTX at 8192. Relief comes from moving the pipeline to a VPS, not from re-allocating VRAM.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 Consequences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Accepted — positive: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 DECIDED policy that could not be executed no longer sits in the corpus as apparently-actionable guidance.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 system change, no rollback, no risk — the policy was never live.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ADR-033's threshold amendment (ADR-036 §7) is unaffected in substance; only the VRAM allocation mechanism is withdrawn.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Accepted — negative: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The project has no VRAM tuning lever documented. This is correct at 16 GB but will need re-deciding if the platform changes.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ADR-036 §5's LaunchDaemon pattern — auditable, version-controlled, SIP-intact — was sound engineering and is lost along with the policy. Worth remembering as a pattern if any boot-time configuration is needed later.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 Reinstatement Conditions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supersession is conditional on the platform. ADR-036's approach becomes valid again, and should be revisited rather than rewritten from scratch, if all of the following hold: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 dedicated host is acquired — see the revisit triggers in ADR-043 Section 9.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That host runs a genuinely headless profile: no interactive GUI session, inactive admin and dev accounts, as ADR-036 Section 4 assumes.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Its unified memory is large enough that an 87.5–90% GPU allocation leaves a workable OS reserve.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 Open Items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Audit the remaining ADR corpus for other decisions written against the never-acquired dedicated host. ADR-036 was found by accident; the size of this class is unknown and no systematic check has been run. This is the single most important item arising from this ADR.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ADR-033's reference relationship to ADR-036 §7 should be confirmed intact once that audit runs.</w:t>
      </w:r>
    </w:p>
    <w:p>
      <w:pPr>
        <w:pBdr>
          <w:top w:val="single" w:color="CCCCCC" w:sz="6" w:space="8"/>
        </w:pBdr>
        <w:spacing w:before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Sheldon Wheeler — OpenClaw Personal Stack — ADR-044 — Decided September 20,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ADR-044</dc:title>
  <dc:creator>Sheldon Wheeler</dc:creator>
  <cp:lastModifiedBy>Un-named</cp:lastModifiedBy>
  <cp:revision>1</cp:revision>
  <dcterms:created xsi:type="dcterms:W3CDTF">2026-09-20T13:11:51.321Z</dcterms:created>
  <dcterms:modified xsi:type="dcterms:W3CDTF">2026-09-20T13:11:51.326Z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