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2"/>
          <w:szCs w:val="32"/>
        </w:rPr>
        <w:t xml:space="preserve">ADR-046</w:t>
      </w:r>
    </w:p>
    <w:p>
      <w:pPr>
        <w:spacing w:after="60"/>
      </w:pPr>
      <w:r>
        <w:rPr>
          <w:rFonts w:ascii="Calibri" w:cs="Calibri" w:eastAsia="Calibri" w:hAnsi="Calibri"/>
          <w:b/>
          <w:bCs/>
          <w:sz w:val="26"/>
          <w:szCs w:val="26"/>
        </w:rPr>
        <w:t xml:space="preserve">Dedicated-Host Assumption Audit — Findings and Remediation Plan</w:t>
      </w:r>
    </w:p>
    <w:p>
      <w:pPr>
        <w:pBdr>
          <w:bottom w:val="single" w:color="1F3864" w:sz="6" w:space="8"/>
        </w:pBdr>
        <w:spacing w:after="200"/>
      </w:pPr>
      <w:r>
        <w:rPr>
          <w:rFonts w:ascii="Calibri" w:cs="Calibri" w:eastAsia="Calibri" w:hAnsi="Calibri"/>
          <w:color w:val="555555"/>
          <w:sz w:val="20"/>
          <w:szCs w:val="20"/>
        </w:rPr>
        <w:t xml:space="preserve">OpenClaw — Phase 1    |    Audited September 20, 2026; extended September 29, 2026    |    Status OPEN — remediation pending operator decisions</w:t>
      </w:r>
    </w:p>
    <w:p>
      <w:pPr>
        <w:pStyle w:val="Heading1"/>
        <w:spacing w:after="140" w:before="300"/>
      </w:pPr>
      <w:r>
        <w:rPr>
          <w:rFonts w:ascii="Calibri" w:cs="Calibri" w:eastAsia="Calibri" w:hAnsi="Calibri"/>
          <w:b/>
          <w:bCs/>
          <w:color w:val="1F3864"/>
          <w:sz w:val="26"/>
          <w:szCs w:val="26"/>
        </w:rPr>
        <w:t xml:space="preserve">1.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ADR Number</w:t>
            </w:r>
          </w:p>
        </w:tc>
        <w:tc>
          <w:tcPr>
            <w:tcW w:type="dxa" w:w="6660"/>
            <w:tcMar>
              <w:top w:type="dxa" w:w="80"/>
              <w:left w:type="dxa" w:w="120"/>
              <w:bottom w:type="dxa" w:w="80"/>
              <w:right w:type="dxa" w:w="120"/>
            </w:tcMar>
          </w:tcPr>
          <w:p>
            <w:r>
              <w:rPr>
                <w:rFonts w:ascii="Calibri" w:cs="Calibri" w:eastAsia="Calibri" w:hAnsi="Calibri"/>
                <w:sz w:val="20"/>
                <w:szCs w:val="20"/>
              </w:rPr>
              <w:t xml:space="preserve">ADR-046</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6660"/>
            <w:tcMar>
              <w:top w:type="dxa" w:w="80"/>
              <w:left w:type="dxa" w:w="120"/>
              <w:bottom w:type="dxa" w:w="80"/>
              <w:right w:type="dxa" w:w="120"/>
            </w:tcMar>
          </w:tcPr>
          <w:p>
            <w:r>
              <w:rPr>
                <w:rFonts w:ascii="Calibri" w:cs="Calibri" w:eastAsia="Calibri" w:hAnsi="Calibri"/>
                <w:sz w:val="20"/>
                <w:szCs w:val="20"/>
              </w:rPr>
              <w:t xml:space="preserve">Dedicated-Host Assumption Audit — Findings and Remediation Plan</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660"/>
            <w:tcMar>
              <w:top w:type="dxa" w:w="80"/>
              <w:left w:type="dxa" w:w="120"/>
              <w:bottom w:type="dxa" w:w="80"/>
              <w:right w:type="dxa" w:w="120"/>
            </w:tcMar>
          </w:tcPr>
          <w:p>
            <w:r>
              <w:rPr>
                <w:rFonts w:ascii="Calibri" w:cs="Calibri" w:eastAsia="Calibri" w:hAnsi="Calibri"/>
                <w:sz w:val="20"/>
                <w:szCs w:val="20"/>
              </w:rPr>
              <w:t xml:space="preserve">OPEN — findings recorded September 20, 2026. AMENDED September 29, 2026 (Entries #044–#045): audit extended to code, scripts and launchd config — Section 13 adds F7 (HIGH, RESOLVED same day by migration 007), F8 (MEDIUM) and F9 (LOW). F1 RESOLVED same day via Option C (a third option not in Section 9): backups moved to ~/openclaw/backups, already sanctioned by ADR-040 §1, requiring no TCC grant. Option A was selected first and then reversed on investigation — TCC attributes access to the executing binary, so the grant would have given /bin/bash full disk access to every §2-prohibited path, a broader exposure than the violation it fixed. Verified by live run. CORRECTION (same day): the off-device copy everyone believed existed never did. “Desktop &amp; Documents Folders” sync is OFF on this host — ~/Documents is a plain local directory, and the symlink in the CloudDocs container points outward at it, which iCloud does not follow. The May 17 destination was therefore never off-device, so Option C cost nothing. Two follow-ups: establish a genuine off-device copy (none has existed since May 17), and migrate the old dumps out of ~/Documents. F2 decision still required; F3–F5 unremediated. See Section 9.</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Deciders</w:t>
            </w:r>
          </w:p>
        </w:tc>
        <w:tc>
          <w:tcPr>
            <w:tcW w:type="dxa" w:w="6660"/>
            <w:tcMar>
              <w:top w:type="dxa" w:w="80"/>
              <w:left w:type="dxa" w:w="120"/>
              <w:bottom w:type="dxa" w:w="80"/>
              <w:right w:type="dxa" w:w="120"/>
            </w:tcMar>
          </w:tcPr>
          <w:p>
            <w:r>
              <w:rPr>
                <w:rFonts w:ascii="Calibri" w:cs="Calibri" w:eastAsia="Calibri" w:hAnsi="Calibri"/>
                <w:sz w:val="20"/>
                <w:szCs w:val="20"/>
              </w:rPr>
              <w:t xml:space="preserve">Sheldon Wheeler (owner, sole operator)</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ADR References</w:t>
            </w:r>
          </w:p>
        </w:tc>
        <w:tc>
          <w:tcPr>
            <w:tcW w:type="dxa" w:w="6660"/>
            <w:tcMar>
              <w:top w:type="dxa" w:w="80"/>
              <w:left w:type="dxa" w:w="120"/>
              <w:bottom w:type="dxa" w:w="80"/>
              <w:right w:type="dxa" w:w="120"/>
            </w:tcMar>
          </w:tcPr>
          <w:p>
            <w:r>
              <w:rPr>
                <w:rFonts w:ascii="Calibri" w:cs="Calibri" w:eastAsia="Calibri" w:hAnsi="Calibri"/>
                <w:sz w:val="20"/>
                <w:szCs w:val="20"/>
              </w:rPr>
              <w:t xml:space="preserve">ADR-043 (production host decision — the trigger); ADR-044 (supersedes ADR-036, the first instance found); ADR-040 / ADR-045 (filesystem boundary — Finding F1 is a live breach); ADR-032 (NIST mapping — Finding F2); ADR-019, 020, 031, 033, 034, 035, 037, 038, 039, 041 (assessed)</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NIST Controls</w:t>
            </w:r>
          </w:p>
        </w:tc>
        <w:tc>
          <w:tcPr>
            <w:tcW w:type="dxa" w:w="6660"/>
            <w:tcMar>
              <w:top w:type="dxa" w:w="80"/>
              <w:left w:type="dxa" w:w="120"/>
              <w:bottom w:type="dxa" w:w="80"/>
              <w:right w:type="dxa" w:w="120"/>
            </w:tcMar>
          </w:tcPr>
          <w:p>
            <w:r>
              <w:rPr>
                <w:rFonts w:ascii="Calibri" w:cs="Calibri" w:eastAsia="Calibri" w:hAnsi="Calibri"/>
                <w:sz w:val="20"/>
                <w:szCs w:val="20"/>
              </w:rPr>
              <w:t xml:space="preserve">PROPOSED — CM-8, CM-3, CA-2 (Control Assessments), AC-3, AC-6, SI-4. Verify against NIST SP 800-53 Rev. 5 before treating as authoritative.</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Phase Scope</w:t>
            </w:r>
          </w:p>
        </w:tc>
        <w:tc>
          <w:tcPr>
            <w:tcW w:type="dxa" w:w="6660"/>
            <w:tcMar>
              <w:top w:type="dxa" w:w="80"/>
              <w:left w:type="dxa" w:w="120"/>
              <w:bottom w:type="dxa" w:w="80"/>
              <w:right w:type="dxa" w:w="120"/>
            </w:tcMar>
          </w:tcPr>
          <w:p>
            <w:r>
              <w:rPr>
                <w:rFonts w:ascii="Calibri" w:cs="Calibri" w:eastAsia="Calibri" w:hAnsi="Calibri"/>
                <w:sz w:val="20"/>
                <w:szCs w:val="20"/>
              </w:rPr>
              <w:t xml:space="preserve">Phase 1 — audit and governance. One live code defect identified (F1); remediation is not performed by this ADR.</w:t>
            </w:r>
          </w:p>
        </w:tc>
      </w:tr>
    </w:tbl>
    <w:p>
      <w:pPr>
        <w:pStyle w:val="Heading1"/>
        <w:spacing w:after="140" w:before="300"/>
      </w:pPr>
      <w:r>
        <w:rPr>
          <w:rFonts w:ascii="Calibri" w:cs="Calibri" w:eastAsia="Calibri" w:hAnsi="Calibri"/>
          <w:b/>
          <w:bCs/>
          <w:color w:val="1F3864"/>
          <w:sz w:val="26"/>
          <w:szCs w:val="26"/>
        </w:rPr>
        <w:t xml:space="preserve">2.  Purpose and Trigger</w:t>
      </w:r>
    </w:p>
    <w:p>
      <w:pPr>
        <w:spacing w:after="120" w:line="276"/>
      </w:pPr>
      <w:r>
        <w:rPr>
          <w:rFonts w:ascii="Calibri" w:cs="Calibri" w:eastAsia="Calibri" w:hAnsi="Calibri"/>
          <w:sz w:val="21"/>
          <w:szCs w:val="21"/>
        </w:rPr>
        <w:t xml:space="preserve">ADR-043 (September 20, 2026) recorded that the dedicated host assumed throughout this project's documentation was never acquired, and never will be. ADR-044 superseded ADR-036, which had specified GPU VRAM allocation for that absent machine.</w:t>
      </w:r>
    </w:p>
    <w:p>
      <w:pPr>
        <w:spacing w:after="120" w:line="276"/>
      </w:pPr>
      <w:r>
        <w:rPr>
          <w:rFonts w:ascii="Calibri" w:cs="Calibri" w:eastAsia="Calibri" w:hAnsi="Calibri"/>
          <w:sz w:val="21"/>
          <w:szCs w:val="21"/>
        </w:rPr>
        <w:t xml:space="preserve">ADR-036 was found by accident, while being read as a formatting reference for an unrelated document. Nothing had audited for it. The open question this ADR answers is whether ADR-036 was an isolated case or an instance of a pattern.</w:t>
      </w:r>
    </w:p>
    <w:p>
      <w:pPr>
        <w:spacing w:after="120" w:line="276"/>
      </w:pPr>
      <w:r>
        <w:rPr>
          <w:rFonts w:ascii="Calibri" w:cs="Calibri" w:eastAsia="Calibri" w:hAnsi="Calibri"/>
          <w:b/>
          <w:bCs/>
          <w:sz w:val="21"/>
          <w:szCs w:val="21"/>
        </w:rPr>
        <w:t xml:space="preserve">It is a pattern. Eleven documents carry live dependencies on hardware, an operating profile, or an account structure that does not exist, across four distinct failure modes. One of them is not a documentation defect but an active, ongoing policy violation in running code.</w:t>
      </w:r>
    </w:p>
    <w:p>
      <w:pPr>
        <w:pStyle w:val="Heading1"/>
        <w:spacing w:after="140" w:before="300"/>
      </w:pPr>
      <w:r>
        <w:rPr>
          <w:rFonts w:ascii="Calibri" w:cs="Calibri" w:eastAsia="Calibri" w:hAnsi="Calibri"/>
          <w:b/>
          <w:bCs/>
          <w:color w:val="1F3864"/>
          <w:sz w:val="26"/>
          <w:szCs w:val="26"/>
        </w:rPr>
        <w:t xml:space="preserve">3.  Method and Scope</w:t>
      </w:r>
    </w:p>
    <w:p>
      <w:pPr>
        <w:spacing w:after="120" w:line="276"/>
      </w:pPr>
      <w:r>
        <w:rPr>
          <w:rFonts w:ascii="Calibri" w:cs="Calibri" w:eastAsia="Calibri" w:hAnsi="Calibri"/>
          <w:sz w:val="21"/>
          <w:szCs w:val="21"/>
        </w:rPr>
        <w:t xml:space="preserve">All 28 ADR .docx files in ~/openclaw were parsed to plain text and searched for indicators of dedicated-host dependency: memory-size references (32/64/128 GB), named hardware (Mac Studio, Mac Mini, M4, M5), the words 'headless' and 'setup day', service-account references (openclaw / admin / dev accounts), LaunchDaemon and sysctl usage, and purchase-conditional language.</w:t>
      </w:r>
    </w:p>
    <w:p>
      <w:pPr>
        <w:spacing w:after="120" w:line="276"/>
      </w:pPr>
      <w:r>
        <w:rPr>
          <w:rFonts w:ascii="Calibri" w:cs="Calibri" w:eastAsia="Calibri" w:hAnsi="Calibri"/>
          <w:sz w:val="21"/>
          <w:szCs w:val="21"/>
        </w:rPr>
        <w:t xml:space="preserve">Matches were then read in context and classified. Hits where 'Mac Mini' refers to the Claude.ai project of that name rather than to hardware were discarded as noise — this affected the stub documents ADR-014, 021, 027, 028, 029 and 030, whose provenance sections cite that project as a source.</w:t>
      </w:r>
    </w:p>
    <w:p>
      <w:pPr>
        <w:spacing w:after="120" w:line="276"/>
      </w:pPr>
      <w:r>
        <w:rPr>
          <w:rFonts w:ascii="Calibri" w:cs="Calibri" w:eastAsia="Calibri" w:hAnsi="Calibri"/>
          <w:sz w:val="21"/>
          <w:szCs w:val="21"/>
        </w:rPr>
        <w:t xml:space="preserve">Scope limits, stated so the result is not over-read:</w:t>
      </w:r>
    </w:p>
    <w:p>
      <w:pPr>
        <w:pStyle w:val="ListParagraph"/>
        <w:numPr>
          <w:ilvl w:val="0"/>
          <w:numId w:val="1"/>
        </w:numPr>
        <w:spacing w:after="80" w:line="276"/>
      </w:pPr>
      <w:r>
        <w:rPr>
          <w:rFonts w:ascii="Calibri" w:cs="Calibri" w:eastAsia="Calibri" w:hAnsi="Calibri"/>
          <w:sz w:val="21"/>
          <w:szCs w:val="21"/>
        </w:rPr>
        <w:t xml:space="preserve">Only ADR .docx files were audited. Application code, scripts, and the changelog were not systematically searched — except where a finding required verification, which is how F1 was confirmed.</w:t>
      </w:r>
    </w:p>
    <w:p>
      <w:pPr>
        <w:pStyle w:val="ListParagraph"/>
        <w:numPr>
          <w:ilvl w:val="0"/>
          <w:numId w:val="1"/>
        </w:numPr>
        <w:spacing w:after="80" w:line="276"/>
      </w:pPr>
      <w:r>
        <w:rPr>
          <w:rFonts w:ascii="Calibri" w:cs="Calibri" w:eastAsia="Calibri" w:hAnsi="Calibri"/>
          <w:sz w:val="21"/>
          <w:szCs w:val="21"/>
        </w:rPr>
        <w:t xml:space="preserve">Twelve of the documents are explicitly-marked stubs reconstructed on August 23, 2026. A dedicated-host reference inside a stub records what the original ADR is believed to have said; it is weaker evidence than the same reference in an original document. Where this distinction affects a finding it is stated.</w:t>
      </w:r>
    </w:p>
    <w:p>
      <w:pPr>
        <w:pStyle w:val="ListParagraph"/>
        <w:numPr>
          <w:ilvl w:val="0"/>
          <w:numId w:val="1"/>
        </w:numPr>
        <w:spacing w:after="80" w:line="276"/>
      </w:pPr>
      <w:r>
        <w:rPr>
          <w:rFonts w:ascii="Calibri" w:cs="Calibri" w:eastAsia="Calibri" w:hAnsi="Calibri"/>
          <w:sz w:val="21"/>
          <w:szCs w:val="21"/>
        </w:rPr>
        <w:t xml:space="preserve">Absence of an indicator is not proof of soundness. The indicator list was built from ADR-036's own characteristics and will miss assumptions expressed in other vocabulary.</w:t>
      </w:r>
    </w:p>
    <w:p>
      <w:pPr>
        <w:pStyle w:val="Heading1"/>
        <w:spacing w:after="140" w:before="300"/>
      </w:pPr>
      <w:r>
        <w:rPr>
          <w:rFonts w:ascii="Calibri" w:cs="Calibri" w:eastAsia="Calibri" w:hAnsi="Calibri"/>
          <w:b/>
          <w:bCs/>
          <w:color w:val="1F3864"/>
          <w:sz w:val="26"/>
          <w:szCs w:val="26"/>
        </w:rPr>
        <w:t xml:space="preserve">4.  Severity Framework</w:t>
      </w:r>
    </w:p>
    <w:p>
      <w:pPr>
        <w:spacing w:after="120" w:line="276"/>
      </w:pPr>
      <w:r>
        <w:rPr>
          <w:rFonts w:ascii="Calibri" w:cs="Calibri" w:eastAsia="Calibri" w:hAnsi="Calibri"/>
          <w:sz w:val="21"/>
          <w:szCs w:val="21"/>
        </w:rPr>
        <w:t xml:space="preserve">Consistent with ADR-039: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F2F2F2" w:val="clear"/>
            <w:tcMar>
              <w:top w:type="dxa" w:w="70"/>
              <w:left w:type="dxa" w:w="110"/>
              <w:bottom w:type="dxa" w:w="70"/>
              <w:right w:type="dxa" w:w="110"/>
            </w:tcMar>
          </w:tcPr>
          <w:p>
            <w:r>
              <w:rPr>
                <w:rFonts w:ascii="Calibri" w:cs="Calibri" w:eastAsia="Calibri" w:hAnsi="Calibri"/>
                <w:b/>
                <w:bCs/>
                <w:sz w:val="18"/>
                <w:szCs w:val="18"/>
              </w:rPr>
              <w:t xml:space="preserve">Severity</w:t>
            </w:r>
          </w:p>
        </w:tc>
        <w:tc>
          <w:tcPr>
            <w:tcW w:type="dxa" w:w="8160"/>
            <w:shd w:fill="F2F2F2" w:val="clear"/>
            <w:tcMar>
              <w:top w:type="dxa" w:w="70"/>
              <w:left w:type="dxa" w:w="110"/>
              <w:bottom w:type="dxa" w:w="70"/>
              <w:right w:type="dxa" w:w="110"/>
            </w:tcMar>
          </w:tcPr>
          <w:p>
            <w:r>
              <w:rPr>
                <w:rFonts w:ascii="Calibri" w:cs="Calibri" w:eastAsia="Calibri" w:hAnsi="Calibri"/>
                <w:b/>
                <w:bCs/>
                <w:sz w:val="18"/>
                <w:szCs w:val="18"/>
              </w:rPr>
              <w:t xml:space="preserve">Definition</w:t>
            </w:r>
          </w:p>
        </w:tc>
      </w:tr>
      <w:tr>
        <w:tc>
          <w:tcPr>
            <w:tcW w:type="dxa" w:w="1200"/>
            <w:tcMar>
              <w:top w:type="dxa" w:w="70"/>
              <w:left w:type="dxa" w:w="110"/>
              <w:bottom w:type="dxa" w:w="70"/>
              <w:right w:type="dxa" w:w="110"/>
            </w:tcMar>
          </w:tcPr>
          <w:p>
            <w:r>
              <w:rPr>
                <w:rFonts w:ascii="Calibri" w:cs="Calibri" w:eastAsia="Calibri" w:hAnsi="Calibri"/>
                <w:b w:val="false"/>
                <w:bCs w:val="false"/>
                <w:sz w:val="18"/>
                <w:szCs w:val="18"/>
              </w:rPr>
              <w:t xml:space="preserve">High</w:t>
            </w:r>
          </w:p>
        </w:tc>
        <w:tc>
          <w:tcPr>
            <w:tcW w:type="dxa" w:w="8160"/>
            <w:tcMar>
              <w:top w:type="dxa" w:w="70"/>
              <w:left w:type="dxa" w:w="110"/>
              <w:bottom w:type="dxa" w:w="70"/>
              <w:right w:type="dxa" w:w="110"/>
            </w:tcMar>
          </w:tcPr>
          <w:p>
            <w:r>
              <w:rPr>
                <w:rFonts w:ascii="Calibri" w:cs="Calibri" w:eastAsia="Calibri" w:hAnsi="Calibri"/>
                <w:b w:val="false"/>
                <w:bCs w:val="false"/>
                <w:sz w:val="18"/>
                <w:szCs w:val="18"/>
              </w:rPr>
              <w:t xml:space="preserve">A live defect, or a claimed control that does not hold. Acting now is warranted.</w:t>
            </w:r>
          </w:p>
        </w:tc>
      </w:tr>
      <w:tr>
        <w:tc>
          <w:tcPr>
            <w:tcW w:type="dxa" w:w="1200"/>
            <w:tcMar>
              <w:top w:type="dxa" w:w="70"/>
              <w:left w:type="dxa" w:w="110"/>
              <w:bottom w:type="dxa" w:w="70"/>
              <w:right w:type="dxa" w:w="110"/>
            </w:tcMar>
          </w:tcPr>
          <w:p>
            <w:r>
              <w:rPr>
                <w:rFonts w:ascii="Calibri" w:cs="Calibri" w:eastAsia="Calibri" w:hAnsi="Calibri"/>
                <w:b w:val="false"/>
                <w:bCs w:val="false"/>
                <w:sz w:val="18"/>
                <w:szCs w:val="18"/>
              </w:rPr>
              <w:t xml:space="preserve">Medium</w:t>
            </w:r>
          </w:p>
        </w:tc>
        <w:tc>
          <w:tcPr>
            <w:tcW w:type="dxa" w:w="8160"/>
            <w:tcMar>
              <w:top w:type="dxa" w:w="70"/>
              <w:left w:type="dxa" w:w="110"/>
              <w:bottom w:type="dxa" w:w="70"/>
              <w:right w:type="dxa" w:w="110"/>
            </w:tcMar>
          </w:tcPr>
          <w:p>
            <w:r>
              <w:rPr>
                <w:rFonts w:ascii="Calibri" w:cs="Calibri" w:eastAsia="Calibri" w:hAnsi="Calibri"/>
                <w:b w:val="false"/>
                <w:bCs w:val="false"/>
                <w:sz w:val="18"/>
                <w:szCs w:val="18"/>
              </w:rPr>
              <w:t xml:space="preserve">Credible weakness with bounded impact or an available workaround. Address deliberately.</w:t>
            </w:r>
          </w:p>
        </w:tc>
      </w:tr>
      <w:tr>
        <w:tc>
          <w:tcPr>
            <w:tcW w:type="dxa" w:w="1200"/>
            <w:tcMar>
              <w:top w:type="dxa" w:w="70"/>
              <w:left w:type="dxa" w:w="110"/>
              <w:bottom w:type="dxa" w:w="70"/>
              <w:right w:type="dxa" w:w="110"/>
            </w:tcMar>
          </w:tcPr>
          <w:p>
            <w:r>
              <w:rPr>
                <w:rFonts w:ascii="Calibri" w:cs="Calibri" w:eastAsia="Calibri" w:hAnsi="Calibri"/>
                <w:b w:val="false"/>
                <w:bCs w:val="false"/>
                <w:sz w:val="18"/>
                <w:szCs w:val="18"/>
              </w:rPr>
              <w:t xml:space="preserve">Low</w:t>
            </w:r>
          </w:p>
        </w:tc>
        <w:tc>
          <w:tcPr>
            <w:tcW w:type="dxa" w:w="8160"/>
            <w:tcMar>
              <w:top w:type="dxa" w:w="70"/>
              <w:left w:type="dxa" w:w="110"/>
              <w:bottom w:type="dxa" w:w="70"/>
              <w:right w:type="dxa" w:w="110"/>
            </w:tcMar>
          </w:tcPr>
          <w:p>
            <w:r>
              <w:rPr>
                <w:rFonts w:ascii="Calibri" w:cs="Calibri" w:eastAsia="Calibri" w:hAnsi="Calibri"/>
                <w:b w:val="false"/>
                <w:bCs w:val="false"/>
                <w:sz w:val="18"/>
                <w:szCs w:val="18"/>
              </w:rPr>
              <w:t xml:space="preserve">Tracked. Documentation or hygiene defect with no operational consequence.</w:t>
            </w:r>
          </w:p>
        </w:tc>
      </w:tr>
    </w:tbl>
    <w:p>
      <w:pPr>
        <w:pStyle w:val="Heading1"/>
        <w:spacing w:after="140" w:before="300"/>
      </w:pPr>
      <w:r>
        <w:rPr>
          <w:rFonts w:ascii="Calibri" w:cs="Calibri" w:eastAsia="Calibri" w:hAnsi="Calibri"/>
          <w:b/>
          <w:bCs/>
          <w:color w:val="1F3864"/>
          <w:sz w:val="26"/>
          <w:szCs w:val="26"/>
        </w:rPr>
        <w:t xml:space="preserve">5.  Finding F1 — HIGH — Nightly backup writes to a prohibited path</w:t>
      </w:r>
    </w:p>
    <w:p>
      <w:pPr>
        <w:pStyle w:val="Heading2"/>
        <w:spacing w:after="110" w:before="220"/>
      </w:pPr>
      <w:r>
        <w:rPr>
          <w:rFonts w:ascii="Calibri" w:cs="Calibri" w:eastAsia="Calibri" w:hAnsi="Calibri"/>
          <w:b/>
          <w:bCs/>
          <w:color w:val="922B21"/>
          <w:sz w:val="23"/>
          <w:szCs w:val="23"/>
        </w:rPr>
        <w:t xml:space="preserve">Status: live, ongoing since May 17, 2026</w:t>
      </w:r>
    </w:p>
    <w:p>
      <w:pPr>
        <w:spacing w:after="120" w:line="276"/>
      </w:pPr>
      <w:r>
        <w:rPr>
          <w:rFonts w:ascii="Calibri" w:cs="Calibri" w:eastAsia="Calibri" w:hAnsi="Calibri"/>
          <w:sz w:val="21"/>
          <w:szCs w:val="21"/>
        </w:rPr>
        <w:t xml:space="preserve">scripts/backup.sh line 34 sets the backup root to a DATA_BOUNDARIES.md Section 2 prohibited path:</w:t>
      </w:r>
    </w:p>
    <w:p>
      <w:pPr>
        <w:shd w:fill="F4F4F4" w:val="clear"/>
        <w:spacing w:after="120"/>
      </w:pPr>
      <w:r>
        <w:rPr>
          <w:rFonts w:ascii="Consolas" w:cs="Consolas" w:eastAsia="Consolas" w:hAnsi="Consolas"/>
          <w:sz w:val="19"/>
          <w:szCs w:val="19"/>
        </w:rPr>
        <w:t xml:space="preserve">ICLOUD_ROOT="$HOME/Documents/Mac-Mini-Backups-Interim"</w:t>
      </w:r>
    </w:p>
    <w:p>
      <w:pPr>
        <w:spacing w:after="120" w:line="276"/>
      </w:pPr>
      <w:r>
        <w:rPr>
          <w:rFonts w:ascii="Calibri" w:cs="Calibri" w:eastAsia="Calibri" w:hAnsi="Calibri"/>
          <w:sz w:val="21"/>
          <w:szCs w:val="21"/>
        </w:rPr>
        <w:t xml:space="preserve">ADR-040 Section 1 sanctions exactly one backup destination: ~/Library/Mobile Documents/com~apple~CloudDocs/Mac-Mini-Backups/, write-only. ~/Documents is named in Section 2 as prohibited.</w:t>
      </w:r>
    </w:p>
    <w:p>
      <w:pPr>
        <w:spacing w:after="120" w:line="276"/>
      </w:pPr>
      <w:r>
        <w:rPr>
          <w:rFonts w:ascii="Calibri" w:cs="Calibri" w:eastAsia="Calibri" w:hAnsi="Calibri"/>
          <w:sz w:val="21"/>
          <w:szCs w:val="21"/>
        </w:rPr>
        <w:t xml:space="preserve">The script does not only write there. It creates directories with mkdir -p (line 128) and runs a retention sweep with find ... -mtime +30 -print -delete (line 176) inside that path.</w:t>
      </w:r>
    </w:p>
    <w:p>
      <w:pPr>
        <w:spacing w:after="120" w:line="276"/>
      </w:pPr>
      <w:r>
        <w:rPr>
          <w:rFonts w:ascii="Calibri" w:cs="Calibri" w:eastAsia="Calibri" w:hAnsi="Calibri"/>
          <w:b/>
          <w:bCs/>
          <w:sz w:val="21"/>
          <w:szCs w:val="21"/>
        </w:rPr>
        <w:t xml:space="preserve">Three aggravating details:</w:t>
      </w:r>
    </w:p>
    <w:p>
      <w:pPr>
        <w:pStyle w:val="ListParagraph"/>
        <w:numPr>
          <w:ilvl w:val="0"/>
          <w:numId w:val="1"/>
        </w:numPr>
        <w:spacing w:after="80" w:line="276"/>
      </w:pPr>
      <w:r>
        <w:rPr>
          <w:rFonts w:ascii="Calibri" w:cs="Calibri" w:eastAsia="Calibri" w:hAnsi="Calibri"/>
          <w:sz w:val="21"/>
          <w:szCs w:val="21"/>
        </w:rPr>
        <w:t xml:space="preserve">The script's own header comments, lines 10 to 12, still describe the sanctioned iCloud path. Only line 34 is operative. Anyone reading the file's documentation rather than its code would conclude it complies. This is how the breach remained invisible for four months.</w:t>
      </w:r>
    </w:p>
    <w:p>
      <w:pPr>
        <w:pStyle w:val="ListParagraph"/>
        <w:numPr>
          <w:ilvl w:val="0"/>
          <w:numId w:val="1"/>
        </w:numPr>
        <w:spacing w:after="80" w:line="276"/>
      </w:pPr>
      <w:r>
        <w:rPr>
          <w:rFonts w:ascii="Calibri" w:cs="Calibri" w:eastAsia="Calibri" w:hAnsi="Calibri"/>
          <w:sz w:val="21"/>
          <w:szCs w:val="21"/>
        </w:rPr>
        <w:t xml:space="preserve">It was a considered decision, not an oversight. Line 33 records the reasoning: Desktop and Documents sync reaches iCloud without requiring a TCC permission grant. A real deployment problem was solved, and the solution crossed a boundary.</w:t>
      </w:r>
    </w:p>
    <w:p>
      <w:pPr>
        <w:pStyle w:val="ListParagraph"/>
        <w:numPr>
          <w:ilvl w:val="0"/>
          <w:numId w:val="1"/>
        </w:numPr>
        <w:spacing w:after="80" w:line="276"/>
      </w:pPr>
      <w:r>
        <w:rPr>
          <w:rFonts w:ascii="Calibri" w:cs="Calibri" w:eastAsia="Calibri" w:hAnsi="Calibri"/>
          <w:sz w:val="21"/>
          <w:szCs w:val="21"/>
        </w:rPr>
        <w:t xml:space="preserve">ADR-019's stub records this as one of three interim deviations for MacBook Air hardware — launchd instead of cron, running as sheldonwheeler instead of dev, and this destination — with all three 'reverting on Mac Studio setup day'. ADR-043 has made that day never arrive, so the interim is now permanent and no document says so.</w:t>
      </w:r>
    </w:p>
    <w:p>
      <w:pPr>
        <w:spacing w:after="120" w:line="276"/>
      </w:pPr>
      <w:r>
        <w:rPr>
          <w:rFonts w:ascii="Calibri" w:cs="Calibri" w:eastAsia="Calibri" w:hAnsi="Calibri"/>
          <w:b/>
          <w:bCs/>
          <w:sz w:val="21"/>
          <w:szCs w:val="21"/>
        </w:rPr>
        <w:t xml:space="preserve">This finding also resolves an item carried unresolved since Entry #029. ~/Documents/Mac-Mini-Backups-Interim was recorded then as a possible undocumented second backup destination. It is not undocumented and it is not second: it is the only backup destination the system actually uses.</w:t>
      </w:r>
    </w:p>
    <w:p>
      <w:pPr>
        <w:spacing w:after="120" w:line="276"/>
      </w:pPr>
      <w:r>
        <w:rPr>
          <w:rFonts w:ascii="Calibri" w:cs="Calibri" w:eastAsia="Calibri" w:hAnsi="Calibri"/>
          <w:i/>
          <w:iCs/>
          <w:sz w:val="21"/>
          <w:szCs w:val="21"/>
        </w:rPr>
        <w:t xml:space="preserve">Distinction worth preserving: the three Section 2 breaches recorded in Entries #029 and #030 were transient reads by an agent. This one is the project's own automation, writing and deleting, every night, for four months. It is a more serious class of finding than the events that prompted ADR-045.</w:t>
      </w:r>
    </w:p>
    <w:p>
      <w:pPr>
        <w:pStyle w:val="Heading1"/>
        <w:spacing w:after="140" w:before="300"/>
      </w:pPr>
      <w:r>
        <w:rPr>
          <w:rFonts w:ascii="Calibri" w:cs="Calibri" w:eastAsia="Calibri" w:hAnsi="Calibri"/>
          <w:b/>
          <w:bCs/>
          <w:color w:val="1F3864"/>
          <w:sz w:val="26"/>
          <w:szCs w:val="26"/>
        </w:rPr>
        <w:t xml:space="preserve">6.  Finding F2 — HIGH — NIST mapping asserts controls against an absent architecture</w:t>
      </w:r>
    </w:p>
    <w:p>
      <w:pPr>
        <w:spacing w:after="120" w:line="276"/>
      </w:pPr>
      <w:r>
        <w:rPr>
          <w:rFonts w:ascii="Calibri" w:cs="Calibri" w:eastAsia="Calibri" w:hAnsi="Calibri"/>
          <w:sz w:val="21"/>
          <w:szCs w:val="21"/>
        </w:rPr>
        <w:t xml:space="preserve">ADR-032 (the NIST 800-53 Rev 5 Moderate baseline compliance mapping, promoted to an ADR on August 23, 2026) records control statuses that rest on the headless multi-account server. Representative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100"/>
        <w:gridCol w:w="5260"/>
      </w:tblGrid>
      <w:tr>
        <w:tc>
          <w:tcPr>
            <w:tcW w:type="dxa" w:w="900"/>
            <w:shd w:fill="F2F2F2" w:val="clear"/>
            <w:tcMar>
              <w:top w:type="dxa" w:w="70"/>
              <w:left w:type="dxa" w:w="110"/>
              <w:bottom w:type="dxa" w:w="70"/>
              <w:right w:type="dxa" w:w="110"/>
            </w:tcMar>
          </w:tcPr>
          <w:p>
            <w:r>
              <w:rPr>
                <w:rFonts w:ascii="Calibri" w:cs="Calibri" w:eastAsia="Calibri" w:hAnsi="Calibri"/>
                <w:b/>
                <w:bCs/>
                <w:sz w:val="18"/>
                <w:szCs w:val="18"/>
              </w:rPr>
              <w:t xml:space="preserve">Control</w:t>
            </w:r>
          </w:p>
        </w:tc>
        <w:tc>
          <w:tcPr>
            <w:tcW w:type="dxa" w:w="2100"/>
            <w:shd w:fill="F2F2F2" w:val="clear"/>
            <w:tcMar>
              <w:top w:type="dxa" w:w="70"/>
              <w:left w:type="dxa" w:w="110"/>
              <w:bottom w:type="dxa" w:w="70"/>
              <w:right w:type="dxa" w:w="110"/>
            </w:tcMar>
          </w:tcPr>
          <w:p>
            <w:r>
              <w:rPr>
                <w:rFonts w:ascii="Calibri" w:cs="Calibri" w:eastAsia="Calibri" w:hAnsi="Calibri"/>
                <w:b/>
                <w:bCs/>
                <w:sz w:val="18"/>
                <w:szCs w:val="18"/>
              </w:rPr>
              <w:t xml:space="preserve">Title</w:t>
            </w:r>
          </w:p>
        </w:tc>
        <w:tc>
          <w:tcPr>
            <w:tcW w:type="dxa" w:w="1100"/>
            <w:shd w:fill="F2F2F2" w:val="clear"/>
            <w:tcMar>
              <w:top w:type="dxa" w:w="70"/>
              <w:left w:type="dxa" w:w="110"/>
              <w:bottom w:type="dxa" w:w="70"/>
              <w:right w:type="dxa" w:w="110"/>
            </w:tcMar>
          </w:tcPr>
          <w:p>
            <w:r>
              <w:rPr>
                <w:rFonts w:ascii="Calibri" w:cs="Calibri" w:eastAsia="Calibri" w:hAnsi="Calibri"/>
                <w:b/>
                <w:bCs/>
                <w:sz w:val="18"/>
                <w:szCs w:val="18"/>
              </w:rPr>
              <w:t xml:space="preserve">Recorded</w:t>
            </w:r>
          </w:p>
        </w:tc>
        <w:tc>
          <w:tcPr>
            <w:tcW w:type="dxa" w:w="5260"/>
            <w:shd w:fill="F2F2F2" w:val="clear"/>
            <w:tcMar>
              <w:top w:type="dxa" w:w="70"/>
              <w:left w:type="dxa" w:w="110"/>
              <w:bottom w:type="dxa" w:w="70"/>
              <w:right w:type="dxa" w:w="110"/>
            </w:tcMar>
          </w:tcPr>
          <w:p>
            <w:r>
              <w:rPr>
                <w:rFonts w:ascii="Calibri" w:cs="Calibri" w:eastAsia="Calibri" w:hAnsi="Calibri"/>
                <w:b/>
                <w:bCs/>
                <w:sz w:val="18"/>
                <w:szCs w:val="18"/>
              </w:rPr>
              <w:t xml:space="preserve">Premise that does not hold</w:t>
            </w:r>
          </w:p>
        </w:tc>
      </w:tr>
      <w:tr>
        <w:tc>
          <w:tcPr>
            <w:tcW w:type="dxa" w:w="900"/>
            <w:tcMar>
              <w:top w:type="dxa" w:w="70"/>
              <w:left w:type="dxa" w:w="110"/>
              <w:bottom w:type="dxa" w:w="70"/>
              <w:right w:type="dxa" w:w="110"/>
            </w:tcMar>
          </w:tcPr>
          <w:p>
            <w:r>
              <w:rPr>
                <w:rFonts w:ascii="Calibri" w:cs="Calibri" w:eastAsia="Calibri" w:hAnsi="Calibri"/>
                <w:b w:val="false"/>
                <w:bCs w:val="false"/>
                <w:sz w:val="18"/>
                <w:szCs w:val="18"/>
              </w:rPr>
              <w:t xml:space="preserve">AC-11</w:t>
            </w:r>
          </w:p>
        </w:tc>
        <w:tc>
          <w:tcPr>
            <w:tcW w:type="dxa" w:w="2100"/>
            <w:tcMar>
              <w:top w:type="dxa" w:w="70"/>
              <w:left w:type="dxa" w:w="110"/>
              <w:bottom w:type="dxa" w:w="70"/>
              <w:right w:type="dxa" w:w="110"/>
            </w:tcMar>
          </w:tcPr>
          <w:p>
            <w:r>
              <w:rPr>
                <w:rFonts w:ascii="Calibri" w:cs="Calibri" w:eastAsia="Calibri" w:hAnsi="Calibri"/>
                <w:b w:val="false"/>
                <w:bCs w:val="false"/>
                <w:sz w:val="18"/>
                <w:szCs w:val="18"/>
              </w:rPr>
              <w:t xml:space="preserve">Device Lock</w:t>
            </w:r>
          </w:p>
        </w:tc>
        <w:tc>
          <w:tcPr>
            <w:tcW w:type="dxa" w:w="1100"/>
            <w:tcMar>
              <w:top w:type="dxa" w:w="70"/>
              <w:left w:type="dxa" w:w="110"/>
              <w:bottom w:type="dxa" w:w="70"/>
              <w:right w:type="dxa" w:w="110"/>
            </w:tcMar>
          </w:tcPr>
          <w:p>
            <w:r>
              <w:rPr>
                <w:rFonts w:ascii="Calibri" w:cs="Calibri" w:eastAsia="Calibri" w:hAnsi="Calibri"/>
                <w:b w:val="false"/>
                <w:bCs w:val="false"/>
                <w:sz w:val="18"/>
                <w:szCs w:val="18"/>
              </w:rPr>
              <w:t xml:space="preserve">PARTIAL</w:t>
            </w:r>
          </w:p>
        </w:tc>
        <w:tc>
          <w:tcPr>
            <w:tcW w:type="dxa" w:w="5260"/>
            <w:tcMar>
              <w:top w:type="dxa" w:w="70"/>
              <w:left w:type="dxa" w:w="110"/>
              <w:bottom w:type="dxa" w:w="70"/>
              <w:right w:type="dxa" w:w="110"/>
            </w:tcMar>
          </w:tcPr>
          <w:p>
            <w:r>
              <w:rPr>
                <w:rFonts w:ascii="Calibri" w:cs="Calibri" w:eastAsia="Calibri" w:hAnsi="Calibri"/>
                <w:b w:val="false"/>
                <w:bCs w:val="false"/>
                <w:sz w:val="18"/>
                <w:szCs w:val="18"/>
              </w:rPr>
              <w:t xml:space="preserve">'Headless system — openclaw runs without screen. Screen lock not meaningful for headless daemon operation.' The host is a laptop with a display, used interactively. Screen lock is both applicable and meaningful.</w:t>
            </w:r>
          </w:p>
        </w:tc>
      </w:tr>
      <w:tr>
        <w:tc>
          <w:tcPr>
            <w:tcW w:type="dxa" w:w="900"/>
            <w:tcMar>
              <w:top w:type="dxa" w:w="70"/>
              <w:left w:type="dxa" w:w="110"/>
              <w:bottom w:type="dxa" w:w="70"/>
              <w:right w:type="dxa" w:w="110"/>
            </w:tcMar>
          </w:tcPr>
          <w:p>
            <w:r>
              <w:rPr>
                <w:rFonts w:ascii="Calibri" w:cs="Calibri" w:eastAsia="Calibri" w:hAnsi="Calibri"/>
                <w:b w:val="false"/>
                <w:bCs w:val="false"/>
                <w:sz w:val="18"/>
                <w:szCs w:val="18"/>
              </w:rPr>
              <w:t xml:space="preserve">AC-18</w:t>
            </w:r>
          </w:p>
        </w:tc>
        <w:tc>
          <w:tcPr>
            <w:tcW w:type="dxa" w:w="2100"/>
            <w:tcMar>
              <w:top w:type="dxa" w:w="70"/>
              <w:left w:type="dxa" w:w="110"/>
              <w:bottom w:type="dxa" w:w="70"/>
              <w:right w:type="dxa" w:w="110"/>
            </w:tcMar>
          </w:tcPr>
          <w:p>
            <w:r>
              <w:rPr>
                <w:rFonts w:ascii="Calibri" w:cs="Calibri" w:eastAsia="Calibri" w:hAnsi="Calibri"/>
                <w:b w:val="false"/>
                <w:bCs w:val="false"/>
                <w:sz w:val="18"/>
                <w:szCs w:val="18"/>
              </w:rPr>
              <w:t xml:space="preserve">Wireless Access</w:t>
            </w:r>
          </w:p>
        </w:tc>
        <w:tc>
          <w:tcPr>
            <w:tcW w:type="dxa" w:w="1100"/>
            <w:tcMar>
              <w:top w:type="dxa" w:w="70"/>
              <w:left w:type="dxa" w:w="110"/>
              <w:bottom w:type="dxa" w:w="70"/>
              <w:right w:type="dxa" w:w="110"/>
            </w:tcMar>
          </w:tcPr>
          <w:p>
            <w:r>
              <w:rPr>
                <w:rFonts w:ascii="Calibri" w:cs="Calibri" w:eastAsia="Calibri" w:hAnsi="Calibri"/>
                <w:b w:val="false"/>
                <w:bCs w:val="false"/>
                <w:sz w:val="18"/>
                <w:szCs w:val="18"/>
              </w:rPr>
              <w:t xml:space="preserve">PARTIAL</w:t>
            </w:r>
          </w:p>
        </w:tc>
        <w:tc>
          <w:tcPr>
            <w:tcW w:type="dxa" w:w="5260"/>
            <w:tcMar>
              <w:top w:type="dxa" w:w="70"/>
              <w:left w:type="dxa" w:w="110"/>
              <w:bottom w:type="dxa" w:w="70"/>
              <w:right w:type="dxa" w:w="110"/>
            </w:tcMar>
          </w:tcPr>
          <w:p>
            <w:r>
              <w:rPr>
                <w:rFonts w:ascii="Calibri" w:cs="Calibri" w:eastAsia="Calibri" w:hAnsi="Calibri"/>
                <w:b w:val="false"/>
                <w:bCs w:val="false"/>
                <w:sz w:val="18"/>
                <w:szCs w:val="18"/>
              </w:rPr>
              <w:t xml:space="preserve">Assessed on the expectation that WiFi is disabled or firewall-blocked on a headless host. The host is a MacBook Air operating over WiFi.</w:t>
            </w:r>
          </w:p>
        </w:tc>
      </w:tr>
      <w:tr>
        <w:tc>
          <w:tcPr>
            <w:tcW w:type="dxa" w:w="900"/>
            <w:tcMar>
              <w:top w:type="dxa" w:w="70"/>
              <w:left w:type="dxa" w:w="110"/>
              <w:bottom w:type="dxa" w:w="70"/>
              <w:right w:type="dxa" w:w="110"/>
            </w:tcMar>
          </w:tcPr>
          <w:p>
            <w:r>
              <w:rPr>
                <w:rFonts w:ascii="Calibri" w:cs="Calibri" w:eastAsia="Calibri" w:hAnsi="Calibri"/>
                <w:b w:val="false"/>
                <w:bCs w:val="false"/>
                <w:sz w:val="18"/>
                <w:szCs w:val="18"/>
              </w:rPr>
              <w:t xml:space="preserve">SA-2</w:t>
            </w:r>
          </w:p>
        </w:tc>
        <w:tc>
          <w:tcPr>
            <w:tcW w:type="dxa" w:w="2100"/>
            <w:tcMar>
              <w:top w:type="dxa" w:w="70"/>
              <w:left w:type="dxa" w:w="110"/>
              <w:bottom w:type="dxa" w:w="70"/>
              <w:right w:type="dxa" w:w="110"/>
            </w:tcMar>
          </w:tcPr>
          <w:p>
            <w:r>
              <w:rPr>
                <w:rFonts w:ascii="Calibri" w:cs="Calibri" w:eastAsia="Calibri" w:hAnsi="Calibri"/>
                <w:b w:val="false"/>
                <w:bCs w:val="false"/>
                <w:sz w:val="18"/>
                <w:szCs w:val="18"/>
              </w:rPr>
              <w:t xml:space="preserve">Allocation of Resources</w:t>
            </w:r>
          </w:p>
        </w:tc>
        <w:tc>
          <w:tcPr>
            <w:tcW w:type="dxa" w:w="1100"/>
            <w:tcMar>
              <w:top w:type="dxa" w:w="70"/>
              <w:left w:type="dxa" w:w="110"/>
              <w:bottom w:type="dxa" w:w="70"/>
              <w:right w:type="dxa" w:w="110"/>
            </w:tcMar>
          </w:tcPr>
          <w:p>
            <w:r>
              <w:rPr>
                <w:rFonts w:ascii="Calibri" w:cs="Calibri" w:eastAsia="Calibri" w:hAnsi="Calibri"/>
                <w:b w:val="false"/>
                <w:bCs w:val="false"/>
                <w:sz w:val="18"/>
                <w:szCs w:val="18"/>
              </w:rPr>
              <w:t xml:space="preserve">MET</w:t>
            </w:r>
          </w:p>
        </w:tc>
        <w:tc>
          <w:tcPr>
            <w:tcW w:type="dxa" w:w="5260"/>
            <w:tcMar>
              <w:top w:type="dxa" w:w="70"/>
              <w:left w:type="dxa" w:w="110"/>
              <w:bottom w:type="dxa" w:w="70"/>
              <w:right w:type="dxa" w:w="110"/>
            </w:tcMar>
          </w:tcPr>
          <w:p>
            <w:r>
              <w:rPr>
                <w:rFonts w:ascii="Calibri" w:cs="Calibri" w:eastAsia="Calibri" w:hAnsi="Calibri"/>
                <w:b w:val="false"/>
                <w:bCs w:val="false"/>
                <w:sz w:val="18"/>
                <w:szCs w:val="18"/>
              </w:rPr>
              <w:t xml:space="preserve">'Hardware capacity explicitly planned: 32GB unified memory, 512GB SSD.' The host has 16 GB.</w:t>
            </w:r>
          </w:p>
        </w:tc>
      </w:tr>
      <w:tr>
        <w:tc>
          <w:tcPr>
            <w:tcW w:type="dxa" w:w="900"/>
            <w:tcMar>
              <w:top w:type="dxa" w:w="70"/>
              <w:left w:type="dxa" w:w="110"/>
              <w:bottom w:type="dxa" w:w="70"/>
              <w:right w:type="dxa" w:w="110"/>
            </w:tcMar>
          </w:tcPr>
          <w:p>
            <w:r>
              <w:rPr>
                <w:rFonts w:ascii="Calibri" w:cs="Calibri" w:eastAsia="Calibri" w:hAnsi="Calibri"/>
                <w:b w:val="false"/>
                <w:bCs w:val="false"/>
                <w:sz w:val="18"/>
                <w:szCs w:val="18"/>
              </w:rPr>
              <w:t xml:space="preserve">AC-6</w:t>
            </w:r>
          </w:p>
        </w:tc>
        <w:tc>
          <w:tcPr>
            <w:tcW w:type="dxa" w:w="2100"/>
            <w:tcMar>
              <w:top w:type="dxa" w:w="70"/>
              <w:left w:type="dxa" w:w="110"/>
              <w:bottom w:type="dxa" w:w="70"/>
              <w:right w:type="dxa" w:w="110"/>
            </w:tcMar>
          </w:tcPr>
          <w:p>
            <w:r>
              <w:rPr>
                <w:rFonts w:ascii="Calibri" w:cs="Calibri" w:eastAsia="Calibri" w:hAnsi="Calibri"/>
                <w:b w:val="false"/>
                <w:bCs w:val="false"/>
                <w:sz w:val="18"/>
                <w:szCs w:val="18"/>
              </w:rPr>
              <w:t xml:space="preserve">Least Privilege</w:t>
            </w:r>
          </w:p>
        </w:tc>
        <w:tc>
          <w:tcPr>
            <w:tcW w:type="dxa" w:w="1100"/>
            <w:tcMar>
              <w:top w:type="dxa" w:w="70"/>
              <w:left w:type="dxa" w:w="110"/>
              <w:bottom w:type="dxa" w:w="70"/>
              <w:right w:type="dxa" w:w="110"/>
            </w:tcMar>
          </w:tcPr>
          <w:p>
            <w:r>
              <w:rPr>
                <w:rFonts w:ascii="Calibri" w:cs="Calibri" w:eastAsia="Calibri" w:hAnsi="Calibri"/>
                <w:b w:val="false"/>
                <w:bCs w:val="false"/>
                <w:sz w:val="18"/>
                <w:szCs w:val="18"/>
              </w:rPr>
              <w:t xml:space="preserve">MET / PARTIAL</w:t>
            </w:r>
          </w:p>
        </w:tc>
        <w:tc>
          <w:tcPr>
            <w:tcW w:type="dxa" w:w="5260"/>
            <w:tcMar>
              <w:top w:type="dxa" w:w="70"/>
              <w:left w:type="dxa" w:w="110"/>
              <w:bottom w:type="dxa" w:w="70"/>
              <w:right w:type="dxa" w:w="110"/>
            </w:tcMar>
          </w:tcPr>
          <w:p>
            <w:r>
              <w:rPr>
                <w:rFonts w:ascii="Calibri" w:cs="Calibri" w:eastAsia="Calibri" w:hAnsi="Calibri"/>
                <w:b w:val="false"/>
                <w:bCs w:val="false"/>
                <w:sz w:val="18"/>
                <w:szCs w:val="18"/>
              </w:rPr>
              <w:t xml:space="preserve">'Operator and agent runtime are separated (sheldon vs openclaw accounts).' The openclaw account does not exist on this host; everything runs as sheldonwheeler.</w:t>
            </w:r>
          </w:p>
        </w:tc>
      </w:tr>
    </w:tbl>
    <w:p>
      <w:pPr>
        <w:spacing w:after="120" w:line="276"/>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The defect is not that the assessments were wrong when written — they were reasonable against the planned architecture. The defect is that the planned architecture never arrived and the mapping was never re-assessed against what was actually built.</w:t>
      </w:r>
    </w:p>
    <w:p>
      <w:pPr>
        <w:spacing w:after="120" w:line="276"/>
      </w:pPr>
      <w:r>
        <w:rPr>
          <w:rFonts w:ascii="Calibri" w:cs="Calibri" w:eastAsia="Calibri" w:hAnsi="Calibri"/>
          <w:sz w:val="21"/>
          <w:szCs w:val="21"/>
        </w:rPr>
        <w:t xml:space="preserve">For AC-11 and AC-18 the error runs in the direction that understates obligation: both controls were dismissed as not meaningful for a headless daemon, and both are in fact applicable to an interactive laptop. A compliance record that dismisses applicable controls on a false premise is the specific failure mode this project's owner assesses professionally in other systems.</w:t>
      </w:r>
    </w:p>
    <w:p>
      <w:pPr>
        <w:spacing w:after="120" w:line="276"/>
      </w:pPr>
      <w:r>
        <w:rPr>
          <w:rFonts w:ascii="Calibri" w:cs="Calibri" w:eastAsia="Calibri" w:hAnsi="Calibri"/>
          <w:sz w:val="21"/>
          <w:szCs w:val="21"/>
        </w:rPr>
        <w:t xml:space="preserve">Related: ADR-033 schedules a dashboard check to 'Confirm WiFi is disabled or firewall-blocked. Alert if WiFi is active on headless system.' On this host that alert would fire permanently and correctly, which is to say it is not a useful control as written.</w:t>
      </w:r>
    </w:p>
    <w:p>
      <w:pPr>
        <w:pStyle w:val="Heading1"/>
        <w:spacing w:after="140" w:before="300"/>
      </w:pPr>
      <w:r>
        <w:rPr>
          <w:rFonts w:ascii="Calibri" w:cs="Calibri" w:eastAsia="Calibri" w:hAnsi="Calibri"/>
          <w:b/>
          <w:bCs/>
          <w:color w:val="1F3864"/>
          <w:sz w:val="26"/>
          <w:szCs w:val="26"/>
        </w:rPr>
        <w:t xml:space="preserve">7.  Finding F3 — MEDIUM — Monitoring thresholds set above physical memory</w:t>
      </w:r>
    </w:p>
    <w:p>
      <w:pPr>
        <w:spacing w:after="120" w:line="276"/>
      </w:pPr>
      <w:r>
        <w:rPr>
          <w:rFonts w:ascii="Calibri" w:cs="Calibri" w:eastAsia="Calibri" w:hAnsi="Calibri"/>
          <w:sz w:val="21"/>
          <w:szCs w:val="21"/>
        </w:rPr>
        <w:t xml:space="preserve">ADR-033 (Operator Dashboard Metrics Framework) specifies unified-memory alerting as: 'Total 32GB. Critical thresholds: 28GB used = yellow, 30GB = red.' It further states 'The Mac Studio M1 Max has 32GB unified memory shared by CPU and GPU. The 32B Ollama model consumes 18-20GB alone.'</w:t>
      </w:r>
    </w:p>
    <w:p>
      <w:pPr>
        <w:spacing w:after="120" w:line="276"/>
      </w:pPr>
      <w:r>
        <w:rPr>
          <w:rFonts w:ascii="Calibri" w:cs="Calibri" w:eastAsia="Calibri" w:hAnsi="Calibri"/>
          <w:b/>
          <w:bCs/>
          <w:sz w:val="21"/>
          <w:szCs w:val="21"/>
        </w:rPr>
        <w:t xml:space="preserve">The host has 16 GB. A yellow threshold of 28 GB and a red threshold of 30 GB can never be crossed. These are not merely mis-tuned — they are silently dead controls that will report healthy under every possible condition, including genuine exhaustion.</w:t>
      </w:r>
    </w:p>
    <w:p>
      <w:pPr>
        <w:spacing w:after="120" w:line="276"/>
      </w:pPr>
      <w:r>
        <w:rPr>
          <w:rFonts w:ascii="Calibri" w:cs="Calibri" w:eastAsia="Calibri" w:hAnsi="Calibri"/>
          <w:sz w:val="21"/>
          <w:szCs w:val="21"/>
        </w:rPr>
        <w:t xml:space="preserve">This is the most operationally deceptive finding in the audit. A missing alert is visibly missing; an alert that cannot fire looks like a passing check.</w:t>
      </w:r>
    </w:p>
    <w:p>
      <w:pPr>
        <w:spacing w:after="120" w:line="276"/>
      </w:pPr>
      <w:r>
        <w:rPr>
          <w:rFonts w:ascii="Calibri" w:cs="Calibri" w:eastAsia="Calibri" w:hAnsi="Calibri"/>
          <w:sz w:val="21"/>
          <w:szCs w:val="21"/>
        </w:rPr>
        <w:t xml:space="preserve">Note also that the 32B model referenced does not match the deployed model. Current generation model is gemma4:e4b at 9.6 GB, with llama3.2 as the lightweight fallback.</w:t>
      </w:r>
    </w:p>
    <w:p>
      <w:pPr>
        <w:pStyle w:val="Heading1"/>
        <w:spacing w:after="140" w:before="300"/>
      </w:pPr>
      <w:r>
        <w:rPr>
          <w:rFonts w:ascii="Calibri" w:cs="Calibri" w:eastAsia="Calibri" w:hAnsi="Calibri"/>
          <w:b/>
          <w:bCs/>
          <w:color w:val="1F3864"/>
          <w:sz w:val="26"/>
          <w:szCs w:val="26"/>
        </w:rPr>
        <w:t xml:space="preserve">8.  Findings F4 to F6 — MEDIUM and LOW</w:t>
      </w:r>
    </w:p>
    <w:p>
      <w:pPr>
        <w:pStyle w:val="Heading2"/>
        <w:spacing w:after="110" w:before="220"/>
      </w:pPr>
      <w:r>
        <w:rPr>
          <w:rFonts w:ascii="Calibri" w:cs="Calibri" w:eastAsia="Calibri" w:hAnsi="Calibri"/>
          <w:b/>
          <w:bCs/>
          <w:color w:val="9C6500"/>
          <w:sz w:val="23"/>
          <w:szCs w:val="23"/>
        </w:rPr>
        <w:t xml:space="preserve">F4 — MEDIUM — Work deferred to a day that will never arrive</w:t>
      </w:r>
    </w:p>
    <w:p>
      <w:pPr>
        <w:spacing w:after="120" w:line="276"/>
      </w:pPr>
      <w:r>
        <w:rPr>
          <w:rFonts w:ascii="Calibri" w:cs="Calibri" w:eastAsia="Calibri" w:hAnsi="Calibri"/>
          <w:sz w:val="21"/>
          <w:szCs w:val="21"/>
        </w:rPr>
        <w:t xml:space="preserve">'Mac Studio setup day' is used as a scheduling target in four documents. None of this work is wrong; all of it is stalled, and nothing marks it unreachable:</w:t>
      </w:r>
    </w:p>
    <w:p>
      <w:pPr>
        <w:pStyle w:val="ListParagraph"/>
        <w:numPr>
          <w:ilvl w:val="0"/>
          <w:numId w:val="1"/>
        </w:numPr>
        <w:spacing w:after="80" w:line="276"/>
      </w:pPr>
      <w:r>
        <w:rPr>
          <w:rFonts w:ascii="Calibri" w:cs="Calibri" w:eastAsia="Calibri" w:hAnsi="Calibri"/>
          <w:sz w:val="21"/>
          <w:szCs w:val="21"/>
        </w:rPr>
        <w:t xml:space="preserve">ADR-039 — remediation items deferred to setup day, including the decryption key in Keychain, paired with the A4 backup destination work. That pairing is notable: F1 above is the unresolved half of the same item.</w:t>
      </w:r>
    </w:p>
    <w:p>
      <w:pPr>
        <w:pStyle w:val="ListParagraph"/>
        <w:numPr>
          <w:ilvl w:val="0"/>
          <w:numId w:val="1"/>
        </w:numPr>
        <w:spacing w:after="80" w:line="276"/>
      </w:pPr>
      <w:r>
        <w:rPr>
          <w:rFonts w:ascii="Calibri" w:cs="Calibri" w:eastAsia="Calibri" w:hAnsi="Calibri"/>
          <w:sz w:val="21"/>
          <w:szCs w:val="21"/>
        </w:rPr>
        <w:t xml:space="preserve">ADR-038 — SSH log forwarder, Phase 1.5, 'implementation is deferred to Mac Studio setup day'.</w:t>
      </w:r>
    </w:p>
    <w:p>
      <w:pPr>
        <w:pStyle w:val="ListParagraph"/>
        <w:numPr>
          <w:ilvl w:val="0"/>
          <w:numId w:val="1"/>
        </w:numPr>
        <w:spacing w:after="80" w:line="276"/>
      </w:pPr>
      <w:r>
        <w:rPr>
          <w:rFonts w:ascii="Calibri" w:cs="Calibri" w:eastAsia="Calibri" w:hAnsi="Calibri"/>
          <w:sz w:val="21"/>
          <w:szCs w:val="21"/>
        </w:rPr>
        <w:t xml:space="preserve">ADR-031 — review of the SSH forwarder scheduled against setup day.</w:t>
      </w:r>
    </w:p>
    <w:p>
      <w:pPr>
        <w:pStyle w:val="ListParagraph"/>
        <w:numPr>
          <w:ilvl w:val="0"/>
          <w:numId w:val="1"/>
        </w:numPr>
        <w:spacing w:after="80" w:line="276"/>
      </w:pPr>
      <w:r>
        <w:rPr>
          <w:rFonts w:ascii="Calibri" w:cs="Calibri" w:eastAsia="Calibri" w:hAnsi="Calibri"/>
          <w:sz w:val="21"/>
          <w:szCs w:val="21"/>
        </w:rPr>
        <w:t xml:space="preserve">ADR-041 — evaluation criterion 'migration path to Mac Studio setup day'. ADR-041 is separately a candidate for closure as not needed.</w:t>
      </w:r>
    </w:p>
    <w:p>
      <w:pPr>
        <w:pStyle w:val="Heading2"/>
        <w:spacing w:after="110" w:before="220"/>
      </w:pPr>
      <w:r>
        <w:rPr>
          <w:rFonts w:ascii="Calibri" w:cs="Calibri" w:eastAsia="Calibri" w:hAnsi="Calibri"/>
          <w:b/>
          <w:bCs/>
          <w:color w:val="9C6500"/>
          <w:sz w:val="23"/>
          <w:szCs w:val="23"/>
        </w:rPr>
        <w:t xml:space="preserve">F5 — MEDIUM — The three-account model does not exist</w:t>
      </w:r>
    </w:p>
    <w:p>
      <w:pPr>
        <w:spacing w:after="120" w:line="276"/>
      </w:pPr>
      <w:r>
        <w:rPr>
          <w:rFonts w:ascii="Calibri" w:cs="Calibri" w:eastAsia="Calibri" w:hAnsi="Calibri"/>
          <w:sz w:val="21"/>
          <w:szCs w:val="21"/>
        </w:rPr>
        <w:t xml:space="preserve">ADR-020, 033, 034, 035 and 038 assume separate openclaw, admin and dev macOS accounts. Everything on this host runs as the single user sheldonwheeler. Affected instructions include a monthly retention cron 'under dev account' (ADR-035), a telemetry LaunchDaemon 'under the dev account' (ADR-034), an SSH LaunchAgent 'under the dev account' (ADR-038), and dashboard queries run 'from the dev account SSH session' (ADR-033). ADR-032's AC-6 claim in F2 rests on this same model.</w:t>
      </w:r>
    </w:p>
    <w:p>
      <w:pPr>
        <w:pStyle w:val="Heading2"/>
        <w:spacing w:after="110" w:before="220"/>
      </w:pPr>
      <w:r>
        <w:rPr>
          <w:rFonts w:ascii="Calibri" w:cs="Calibri" w:eastAsia="Calibri" w:hAnsi="Calibri"/>
          <w:b/>
          <w:bCs/>
          <w:color w:val="000000"/>
          <w:sz w:val="23"/>
          <w:szCs w:val="23"/>
        </w:rPr>
        <w:t xml:space="preserve">F6 — LOW — backup.sh documentation contradicts backup.sh behaviour</w:t>
      </w:r>
    </w:p>
    <w:p>
      <w:pPr>
        <w:spacing w:after="120" w:line="276"/>
      </w:pPr>
      <w:r>
        <w:rPr>
          <w:rFonts w:ascii="Calibri" w:cs="Calibri" w:eastAsia="Calibri" w:hAnsi="Calibri"/>
          <w:sz w:val="21"/>
          <w:szCs w:val="21"/>
        </w:rPr>
        <w:t xml:space="preserve">Recorded separately from F1 because it has an independent lesson. The header comments describe the compliant path while the code uses the prohibited one. Even after F1 is remediated, a file whose comments disagree with its own variable assignments will mislead the next reader. Comments describing a destination should be derived from the variable, or removed.</w:t>
      </w:r>
    </w:p>
    <w:p>
      <w:pPr>
        <w:pStyle w:val="Heading1"/>
        <w:spacing w:after="140" w:before="300"/>
      </w:pPr>
      <w:r>
        <w:rPr>
          <w:rFonts w:ascii="Calibri" w:cs="Calibri" w:eastAsia="Calibri" w:hAnsi="Calibri"/>
          <w:b/>
          <w:bCs/>
          <w:color w:val="1F3864"/>
          <w:sz w:val="26"/>
          <w:szCs w:val="26"/>
        </w:rPr>
        <w:t xml:space="preserve">9.  Decisions Required From the Operator</w:t>
      </w:r>
    </w:p>
    <w:p>
      <w:pPr>
        <w:spacing w:after="120" w:line="276"/>
      </w:pPr>
      <w:r>
        <w:rPr>
          <w:rFonts w:ascii="Calibri" w:cs="Calibri" w:eastAsia="Calibri" w:hAnsi="Calibri"/>
          <w:sz w:val="21"/>
          <w:szCs w:val="21"/>
        </w:rPr>
        <w:t xml:space="preserve">Two findings cannot be remediated without a decision, because the obvious fix has a real cost that was already weighed once.</w:t>
      </w:r>
    </w:p>
    <w:p>
      <w:pPr>
        <w:spacing w:after="120" w:line="276"/>
      </w:pPr>
      <w:r>
        <w:rPr>
          <w:rFonts w:ascii="Calibri" w:cs="Calibri" w:eastAsia="Calibri" w:hAnsi="Calibri"/>
          <w:b/>
          <w:bCs/>
          <w:sz w:val="21"/>
          <w:szCs w:val="21"/>
        </w:rPr>
        <w:t xml:space="preserve">Decision 1 — the backup destination (F1).</w:t>
      </w:r>
    </w:p>
    <w:p>
      <w:pPr>
        <w:pStyle w:val="ListParagraph"/>
        <w:numPr>
          <w:ilvl w:val="0"/>
          <w:numId w:val="1"/>
        </w:numPr>
        <w:spacing w:after="80" w:line="276"/>
      </w:pPr>
      <w:r>
        <w:rPr>
          <w:rFonts w:ascii="Calibri" w:cs="Calibri" w:eastAsia="Calibri" w:hAnsi="Calibri"/>
          <w:sz w:val="21"/>
          <w:szCs w:val="21"/>
        </w:rPr>
        <w:t xml:space="preserve">Option A — Move to the ADR-040 sanctioned path (~/Library/Mobile Documents/.../Mac-Mini-Backups/) and grant the TCC permission that line 33 was written to avoid. Restores compliance; requires a permission grant and a verified first run.</w:t>
      </w:r>
    </w:p>
    <w:p>
      <w:pPr>
        <w:pStyle w:val="ListParagraph"/>
        <w:numPr>
          <w:ilvl w:val="0"/>
          <w:numId w:val="1"/>
        </w:numPr>
        <w:spacing w:after="80" w:line="276"/>
      </w:pPr>
      <w:r>
        <w:rPr>
          <w:rFonts w:ascii="Calibri" w:cs="Calibri" w:eastAsia="Calibri" w:hAnsi="Calibri"/>
          <w:sz w:val="21"/>
          <w:szCs w:val="21"/>
        </w:rPr>
        <w:t xml:space="preserve">Option B — Amend ADR-040 Section 1 via the Section 3 procedure to sanction ~/Documents/Mac-Mini-Backups-Interim as a permitted write path, narrowly scoped. Ratifies what is already happening; weakens the Section 2 prohibition on ~/Documents and should state why the exception is acceptable.</w:t>
      </w:r>
    </w:p>
    <w:p>
      <w:pPr>
        <w:pStyle w:val="ListParagraph"/>
        <w:numPr>
          <w:ilvl w:val="0"/>
          <w:numId w:val="1"/>
        </w:numPr>
        <w:spacing w:after="80" w:line="276"/>
      </w:pPr>
      <w:r>
        <w:rPr>
          <w:rFonts w:ascii="Calibri" w:cs="Calibri" w:eastAsia="Calibri" w:hAnsi="Calibri"/>
          <w:sz w:val="21"/>
          <w:szCs w:val="21"/>
        </w:rPr>
        <w:t xml:space="preserve">Either resolves the breach. Doing nothing leaves running code in violation of a DECIDED policy, which is the worst of the three.</w:t>
      </w:r>
    </w:p>
    <w:p>
      <w:pPr>
        <w:spacing w:after="120" w:line="276"/>
      </w:pPr>
      <w:r>
        <w:rPr>
          <w:rFonts w:ascii="Calibri" w:cs="Calibri" w:eastAsia="Calibri" w:hAnsi="Calibri"/>
          <w:b/>
          <w:bCs/>
          <w:sz w:val="21"/>
          <w:szCs w:val="21"/>
        </w:rPr>
        <w:t xml:space="preserve">Decision 2 — the scope of the ADR-032 re-assessment (F2).</w:t>
      </w:r>
    </w:p>
    <w:p>
      <w:pPr>
        <w:pStyle w:val="ListParagraph"/>
        <w:numPr>
          <w:ilvl w:val="0"/>
          <w:numId w:val="1"/>
        </w:numPr>
        <w:spacing w:after="80" w:line="276"/>
      </w:pPr>
      <w:r>
        <w:rPr>
          <w:rFonts w:ascii="Calibri" w:cs="Calibri" w:eastAsia="Calibri" w:hAnsi="Calibri"/>
          <w:sz w:val="21"/>
          <w:szCs w:val="21"/>
        </w:rPr>
        <w:t xml:space="preserve">Option A — Re-assess only the four controls named in Section 6.</w:t>
      </w:r>
    </w:p>
    <w:p>
      <w:pPr>
        <w:pStyle w:val="ListParagraph"/>
        <w:numPr>
          <w:ilvl w:val="0"/>
          <w:numId w:val="1"/>
        </w:numPr>
        <w:spacing w:after="80" w:line="276"/>
      </w:pPr>
      <w:r>
        <w:rPr>
          <w:rFonts w:ascii="Calibri" w:cs="Calibri" w:eastAsia="Calibri" w:hAnsi="Calibri"/>
          <w:sz w:val="21"/>
          <w:szCs w:val="21"/>
        </w:rPr>
        <w:t xml:space="preserve">Option B — Re-assess the full Moderate baseline mapping against the actual architecture. More work, and the defensible choice if the mapping is ever relied upon as a compliance artifact. The four named controls were found by targeted search, not by review, so others are likely.</w:t>
      </w:r>
    </w:p>
    <w:p>
      <w:pPr>
        <w:pStyle w:val="Heading1"/>
        <w:spacing w:after="140" w:before="300"/>
      </w:pPr>
      <w:r>
        <w:rPr>
          <w:rFonts w:ascii="Calibri" w:cs="Calibri" w:eastAsia="Calibri" w:hAnsi="Calibri"/>
          <w:b/>
          <w:bCs/>
          <w:color w:val="1F3864"/>
          <w:sz w:val="26"/>
          <w:szCs w:val="26"/>
        </w:rPr>
        <w:t xml:space="preserve">10.  Remediation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1200"/>
        <w:gridCol w:w="2560"/>
      </w:tblGrid>
      <w:tr>
        <w:tc>
          <w:tcPr>
            <w:tcW w:type="dxa" w:w="700"/>
            <w:shd w:fill="F2F2F2" w:val="clear"/>
            <w:tcMar>
              <w:top w:type="dxa" w:w="70"/>
              <w:left w:type="dxa" w:w="110"/>
              <w:bottom w:type="dxa" w:w="70"/>
              <w:right w:type="dxa" w:w="110"/>
            </w:tcMar>
          </w:tcPr>
          <w:p>
            <w:r>
              <w:rPr>
                <w:rFonts w:ascii="Calibri" w:cs="Calibri" w:eastAsia="Calibri" w:hAnsi="Calibri"/>
                <w:b/>
                <w:bCs/>
                <w:sz w:val="18"/>
                <w:szCs w:val="18"/>
              </w:rPr>
              <w:t xml:space="preserve">ID</w:t>
            </w:r>
          </w:p>
        </w:tc>
        <w:tc>
          <w:tcPr>
            <w:tcW w:type="dxa" w:w="4900"/>
            <w:shd w:fill="F2F2F2" w:val="clear"/>
            <w:tcMar>
              <w:top w:type="dxa" w:w="70"/>
              <w:left w:type="dxa" w:w="110"/>
              <w:bottom w:type="dxa" w:w="70"/>
              <w:right w:type="dxa" w:w="110"/>
            </w:tcMar>
          </w:tcPr>
          <w:p>
            <w:r>
              <w:rPr>
                <w:rFonts w:ascii="Calibri" w:cs="Calibri" w:eastAsia="Calibri" w:hAnsi="Calibri"/>
                <w:b/>
                <w:bCs/>
                <w:sz w:val="18"/>
                <w:szCs w:val="18"/>
              </w:rPr>
              <w:t xml:space="preserve">Action</w:t>
            </w:r>
          </w:p>
        </w:tc>
        <w:tc>
          <w:tcPr>
            <w:tcW w:type="dxa" w:w="1200"/>
            <w:shd w:fill="F2F2F2" w:val="clear"/>
            <w:tcMar>
              <w:top w:type="dxa" w:w="70"/>
              <w:left w:type="dxa" w:w="110"/>
              <w:bottom w:type="dxa" w:w="70"/>
              <w:right w:type="dxa" w:w="110"/>
            </w:tcMar>
          </w:tcPr>
          <w:p>
            <w:r>
              <w:rPr>
                <w:rFonts w:ascii="Calibri" w:cs="Calibri" w:eastAsia="Calibri" w:hAnsi="Calibri"/>
                <w:b/>
                <w:bCs/>
                <w:sz w:val="18"/>
                <w:szCs w:val="18"/>
              </w:rPr>
              <w:t xml:space="preserve">Severity</w:t>
            </w:r>
          </w:p>
        </w:tc>
        <w:tc>
          <w:tcPr>
            <w:tcW w:type="dxa" w:w="2560"/>
            <w:shd w:fill="F2F2F2" w:val="clear"/>
            <w:tcMar>
              <w:top w:type="dxa" w:w="70"/>
              <w:left w:type="dxa" w:w="110"/>
              <w:bottom w:type="dxa" w:w="70"/>
              <w:right w:type="dxa" w:w="110"/>
            </w:tcMar>
          </w:tcPr>
          <w:p>
            <w:r>
              <w:rPr>
                <w:rFonts w:ascii="Calibri" w:cs="Calibri" w:eastAsia="Calibri" w:hAnsi="Calibri"/>
                <w:b/>
                <w:bCs/>
                <w:sz w:val="18"/>
                <w:szCs w:val="18"/>
              </w:rPr>
              <w:t xml:space="preserve">Sequencing</w:t>
            </w:r>
          </w:p>
        </w:tc>
      </w:tr>
      <w:tr>
        <w:tc>
          <w:tcPr>
            <w:tcW w:type="dxa" w:w="700"/>
            <w:tcMar>
              <w:top w:type="dxa" w:w="70"/>
              <w:left w:type="dxa" w:w="110"/>
              <w:bottom w:type="dxa" w:w="70"/>
              <w:right w:type="dxa" w:w="110"/>
            </w:tcMar>
          </w:tcPr>
          <w:p>
            <w:r>
              <w:rPr>
                <w:rFonts w:ascii="Calibri" w:cs="Calibri" w:eastAsia="Calibri" w:hAnsi="Calibri"/>
                <w:b w:val="false"/>
                <w:bCs w:val="false"/>
                <w:sz w:val="18"/>
                <w:szCs w:val="18"/>
              </w:rPr>
              <w:t xml:space="preserve">F1</w:t>
            </w:r>
          </w:p>
        </w:tc>
        <w:tc>
          <w:tcPr>
            <w:tcW w:type="dxa" w:w="4900"/>
            <w:tcMar>
              <w:top w:type="dxa" w:w="70"/>
              <w:left w:type="dxa" w:w="110"/>
              <w:bottom w:type="dxa" w:w="70"/>
              <w:right w:type="dxa" w:w="110"/>
            </w:tcMar>
          </w:tcPr>
          <w:p>
            <w:r>
              <w:rPr>
                <w:rFonts w:ascii="Calibri" w:cs="Calibri" w:eastAsia="Calibri" w:hAnsi="Calibri"/>
                <w:b w:val="false"/>
                <w:bCs w:val="false"/>
                <w:sz w:val="18"/>
                <w:szCs w:val="18"/>
              </w:rPr>
              <w:t xml:space="preserve">Decide and apply the backup destination (Section 9, Decision 1). Verify the next scheduled run writes to the chosen path before closing.</w:t>
            </w:r>
          </w:p>
        </w:tc>
        <w:tc>
          <w:tcPr>
            <w:tcW w:type="dxa" w:w="1200"/>
            <w:tcMar>
              <w:top w:type="dxa" w:w="70"/>
              <w:left w:type="dxa" w:w="110"/>
              <w:bottom w:type="dxa" w:w="70"/>
              <w:right w:type="dxa" w:w="110"/>
            </w:tcMar>
          </w:tcPr>
          <w:p>
            <w:r>
              <w:rPr>
                <w:rFonts w:ascii="Calibri" w:cs="Calibri" w:eastAsia="Calibri" w:hAnsi="Calibri"/>
                <w:b w:val="false"/>
                <w:bCs w:val="false"/>
                <w:sz w:val="18"/>
                <w:szCs w:val="18"/>
              </w:rPr>
              <w:t xml:space="preserve">High</w:t>
            </w:r>
          </w:p>
        </w:tc>
        <w:tc>
          <w:tcPr>
            <w:tcW w:type="dxa" w:w="2560"/>
            <w:tcMar>
              <w:top w:type="dxa" w:w="70"/>
              <w:left w:type="dxa" w:w="110"/>
              <w:bottom w:type="dxa" w:w="70"/>
              <w:right w:type="dxa" w:w="110"/>
            </w:tcMar>
          </w:tcPr>
          <w:p>
            <w:r>
              <w:rPr>
                <w:rFonts w:ascii="Calibri" w:cs="Calibri" w:eastAsia="Calibri" w:hAnsi="Calibri"/>
                <w:b w:val="false"/>
                <w:bCs w:val="false"/>
                <w:sz w:val="18"/>
                <w:szCs w:val="18"/>
              </w:rPr>
              <w:t xml:space="preserve">Next session</w:t>
            </w:r>
          </w:p>
        </w:tc>
      </w:tr>
      <w:tr>
        <w:tc>
          <w:tcPr>
            <w:tcW w:type="dxa" w:w="700"/>
            <w:tcMar>
              <w:top w:type="dxa" w:w="70"/>
              <w:left w:type="dxa" w:w="110"/>
              <w:bottom w:type="dxa" w:w="70"/>
              <w:right w:type="dxa" w:w="110"/>
            </w:tcMar>
          </w:tcPr>
          <w:p>
            <w:r>
              <w:rPr>
                <w:rFonts w:ascii="Calibri" w:cs="Calibri" w:eastAsia="Calibri" w:hAnsi="Calibri"/>
                <w:b w:val="false"/>
                <w:bCs w:val="false"/>
                <w:sz w:val="18"/>
                <w:szCs w:val="18"/>
              </w:rPr>
              <w:t xml:space="preserve">F2</w:t>
            </w:r>
          </w:p>
        </w:tc>
        <w:tc>
          <w:tcPr>
            <w:tcW w:type="dxa" w:w="4900"/>
            <w:tcMar>
              <w:top w:type="dxa" w:w="70"/>
              <w:left w:type="dxa" w:w="110"/>
              <w:bottom w:type="dxa" w:w="70"/>
              <w:right w:type="dxa" w:w="110"/>
            </w:tcMar>
          </w:tcPr>
          <w:p>
            <w:r>
              <w:rPr>
                <w:rFonts w:ascii="Calibri" w:cs="Calibri" w:eastAsia="Calibri" w:hAnsi="Calibri"/>
                <w:b w:val="false"/>
                <w:bCs w:val="false"/>
                <w:sz w:val="18"/>
                <w:szCs w:val="18"/>
              </w:rPr>
              <w:t xml:space="preserve">Re-assess ADR-032 control statuses against the actual host (Section 9, Decision 2).</w:t>
            </w:r>
          </w:p>
        </w:tc>
        <w:tc>
          <w:tcPr>
            <w:tcW w:type="dxa" w:w="1200"/>
            <w:tcMar>
              <w:top w:type="dxa" w:w="70"/>
              <w:left w:type="dxa" w:w="110"/>
              <w:bottom w:type="dxa" w:w="70"/>
              <w:right w:type="dxa" w:w="110"/>
            </w:tcMar>
          </w:tcPr>
          <w:p>
            <w:r>
              <w:rPr>
                <w:rFonts w:ascii="Calibri" w:cs="Calibri" w:eastAsia="Calibri" w:hAnsi="Calibri"/>
                <w:b w:val="false"/>
                <w:bCs w:val="false"/>
                <w:sz w:val="18"/>
                <w:szCs w:val="18"/>
              </w:rPr>
              <w:t xml:space="preserve">High</w:t>
            </w:r>
          </w:p>
        </w:tc>
        <w:tc>
          <w:tcPr>
            <w:tcW w:type="dxa" w:w="2560"/>
            <w:tcMar>
              <w:top w:type="dxa" w:w="70"/>
              <w:left w:type="dxa" w:w="110"/>
              <w:bottom w:type="dxa" w:w="70"/>
              <w:right w:type="dxa" w:w="110"/>
            </w:tcMar>
          </w:tcPr>
          <w:p>
            <w:r>
              <w:rPr>
                <w:rFonts w:ascii="Calibri" w:cs="Calibri" w:eastAsia="Calibri" w:hAnsi="Calibri"/>
                <w:b w:val="false"/>
                <w:bCs w:val="false"/>
                <w:sz w:val="18"/>
                <w:szCs w:val="18"/>
              </w:rPr>
              <w:t xml:space="preserve">Next session or scheduled</w:t>
            </w:r>
          </w:p>
        </w:tc>
      </w:tr>
      <w:tr>
        <w:tc>
          <w:tcPr>
            <w:tcW w:type="dxa" w:w="700"/>
            <w:tcMar>
              <w:top w:type="dxa" w:w="70"/>
              <w:left w:type="dxa" w:w="110"/>
              <w:bottom w:type="dxa" w:w="70"/>
              <w:right w:type="dxa" w:w="110"/>
            </w:tcMar>
          </w:tcPr>
          <w:p>
            <w:r>
              <w:rPr>
                <w:rFonts w:ascii="Calibri" w:cs="Calibri" w:eastAsia="Calibri" w:hAnsi="Calibri"/>
                <w:b w:val="false"/>
                <w:bCs w:val="false"/>
                <w:sz w:val="18"/>
                <w:szCs w:val="18"/>
              </w:rPr>
              <w:t xml:space="preserve">F3</w:t>
            </w:r>
          </w:p>
        </w:tc>
        <w:tc>
          <w:tcPr>
            <w:tcW w:type="dxa" w:w="4900"/>
            <w:tcMar>
              <w:top w:type="dxa" w:w="70"/>
              <w:left w:type="dxa" w:w="110"/>
              <w:bottom w:type="dxa" w:w="70"/>
              <w:right w:type="dxa" w:w="110"/>
            </w:tcMar>
          </w:tcPr>
          <w:p>
            <w:r>
              <w:rPr>
                <w:rFonts w:ascii="Calibri" w:cs="Calibri" w:eastAsia="Calibri" w:hAnsi="Calibri"/>
                <w:b w:val="false"/>
                <w:bCs w:val="false"/>
                <w:sz w:val="18"/>
                <w:szCs w:val="18"/>
              </w:rPr>
              <w:t xml:space="preserve">Re-tune ADR-033 memory thresholds to 16 GB, or mark the dashboard framework as pending a host it was not designed for. Correct the 32B model reference.</w:t>
            </w:r>
          </w:p>
        </w:tc>
        <w:tc>
          <w:tcPr>
            <w:tcW w:type="dxa" w:w="1200"/>
            <w:tcMar>
              <w:top w:type="dxa" w:w="70"/>
              <w:left w:type="dxa" w:w="110"/>
              <w:bottom w:type="dxa" w:w="70"/>
              <w:right w:type="dxa" w:w="110"/>
            </w:tcMar>
          </w:tcPr>
          <w:p>
            <w:r>
              <w:rPr>
                <w:rFonts w:ascii="Calibri" w:cs="Calibri" w:eastAsia="Calibri" w:hAnsi="Calibri"/>
                <w:b w:val="false"/>
                <w:bCs w:val="false"/>
                <w:sz w:val="18"/>
                <w:szCs w:val="18"/>
              </w:rPr>
              <w:t xml:space="preserve">Medium</w:t>
            </w:r>
          </w:p>
        </w:tc>
        <w:tc>
          <w:tcPr>
            <w:tcW w:type="dxa" w:w="2560"/>
            <w:tcMar>
              <w:top w:type="dxa" w:w="70"/>
              <w:left w:type="dxa" w:w="110"/>
              <w:bottom w:type="dxa" w:w="70"/>
              <w:right w:type="dxa" w:w="110"/>
            </w:tcMar>
          </w:tcPr>
          <w:p>
            <w:r>
              <w:rPr>
                <w:rFonts w:ascii="Calibri" w:cs="Calibri" w:eastAsia="Calibri" w:hAnsi="Calibri"/>
                <w:b w:val="false"/>
                <w:bCs w:val="false"/>
                <w:sz w:val="18"/>
                <w:szCs w:val="18"/>
              </w:rPr>
              <w:t xml:space="preserve">Soon</w:t>
            </w:r>
          </w:p>
        </w:tc>
      </w:tr>
      <w:tr>
        <w:tc>
          <w:tcPr>
            <w:tcW w:type="dxa" w:w="700"/>
            <w:tcMar>
              <w:top w:type="dxa" w:w="70"/>
              <w:left w:type="dxa" w:w="110"/>
              <w:bottom w:type="dxa" w:w="70"/>
              <w:right w:type="dxa" w:w="110"/>
            </w:tcMar>
          </w:tcPr>
          <w:p>
            <w:r>
              <w:rPr>
                <w:rFonts w:ascii="Calibri" w:cs="Calibri" w:eastAsia="Calibri" w:hAnsi="Calibri"/>
                <w:b w:val="false"/>
                <w:bCs w:val="false"/>
                <w:sz w:val="18"/>
                <w:szCs w:val="18"/>
              </w:rPr>
              <w:t xml:space="preserve">F4</w:t>
            </w:r>
          </w:p>
        </w:tc>
        <w:tc>
          <w:tcPr>
            <w:tcW w:type="dxa" w:w="4900"/>
            <w:tcMar>
              <w:top w:type="dxa" w:w="70"/>
              <w:left w:type="dxa" w:w="110"/>
              <w:bottom w:type="dxa" w:w="70"/>
              <w:right w:type="dxa" w:w="110"/>
            </w:tcMar>
          </w:tcPr>
          <w:p>
            <w:r>
              <w:rPr>
                <w:rFonts w:ascii="Calibri" w:cs="Calibri" w:eastAsia="Calibri" w:hAnsi="Calibri"/>
                <w:b w:val="false"/>
                <w:bCs w:val="false"/>
                <w:sz w:val="18"/>
                <w:szCs w:val="18"/>
              </w:rPr>
              <w:t xml:space="preserve">Replace 'Mac Studio setup day' in ADR-031, 038, 039, 041 with a real trigger or an explicit deferral status. Re-triage ADR-039's stalled security items on their own merits.</w:t>
            </w:r>
          </w:p>
        </w:tc>
        <w:tc>
          <w:tcPr>
            <w:tcW w:type="dxa" w:w="1200"/>
            <w:tcMar>
              <w:top w:type="dxa" w:w="70"/>
              <w:left w:type="dxa" w:w="110"/>
              <w:bottom w:type="dxa" w:w="70"/>
              <w:right w:type="dxa" w:w="110"/>
            </w:tcMar>
          </w:tcPr>
          <w:p>
            <w:r>
              <w:rPr>
                <w:rFonts w:ascii="Calibri" w:cs="Calibri" w:eastAsia="Calibri" w:hAnsi="Calibri"/>
                <w:b w:val="false"/>
                <w:bCs w:val="false"/>
                <w:sz w:val="18"/>
                <w:szCs w:val="18"/>
              </w:rPr>
              <w:t xml:space="preserve">Medium</w:t>
            </w:r>
          </w:p>
        </w:tc>
        <w:tc>
          <w:tcPr>
            <w:tcW w:type="dxa" w:w="2560"/>
            <w:tcMar>
              <w:top w:type="dxa" w:w="70"/>
              <w:left w:type="dxa" w:w="110"/>
              <w:bottom w:type="dxa" w:w="70"/>
              <w:right w:type="dxa" w:w="110"/>
            </w:tcMar>
          </w:tcPr>
          <w:p>
            <w:r>
              <w:rPr>
                <w:rFonts w:ascii="Calibri" w:cs="Calibri" w:eastAsia="Calibri" w:hAnsi="Calibri"/>
                <w:b w:val="false"/>
                <w:bCs w:val="false"/>
                <w:sz w:val="18"/>
                <w:szCs w:val="18"/>
              </w:rPr>
              <w:t xml:space="preserve">Soon</w:t>
            </w:r>
          </w:p>
        </w:tc>
      </w:tr>
      <w:tr>
        <w:tc>
          <w:tcPr>
            <w:tcW w:type="dxa" w:w="700"/>
            <w:tcMar>
              <w:top w:type="dxa" w:w="70"/>
              <w:left w:type="dxa" w:w="110"/>
              <w:bottom w:type="dxa" w:w="70"/>
              <w:right w:type="dxa" w:w="110"/>
            </w:tcMar>
          </w:tcPr>
          <w:p>
            <w:r>
              <w:rPr>
                <w:rFonts w:ascii="Calibri" w:cs="Calibri" w:eastAsia="Calibri" w:hAnsi="Calibri"/>
                <w:b w:val="false"/>
                <w:bCs w:val="false"/>
                <w:sz w:val="18"/>
                <w:szCs w:val="18"/>
              </w:rPr>
              <w:t xml:space="preserve">F5</w:t>
            </w:r>
          </w:p>
        </w:tc>
        <w:tc>
          <w:tcPr>
            <w:tcW w:type="dxa" w:w="4900"/>
            <w:tcMar>
              <w:top w:type="dxa" w:w="70"/>
              <w:left w:type="dxa" w:w="110"/>
              <w:bottom w:type="dxa" w:w="70"/>
              <w:right w:type="dxa" w:w="110"/>
            </w:tcMar>
          </w:tcPr>
          <w:p>
            <w:r>
              <w:rPr>
                <w:rFonts w:ascii="Calibri" w:cs="Calibri" w:eastAsia="Calibri" w:hAnsi="Calibri"/>
                <w:b w:val="false"/>
                <w:bCs w:val="false"/>
                <w:sz w:val="18"/>
                <w:szCs w:val="18"/>
              </w:rPr>
              <w:t xml:space="preserve">Record that the three-account model is not implemented, and decide per document whether each instruction is void, adapted, or genuinely pending.</w:t>
            </w:r>
          </w:p>
        </w:tc>
        <w:tc>
          <w:tcPr>
            <w:tcW w:type="dxa" w:w="1200"/>
            <w:tcMar>
              <w:top w:type="dxa" w:w="70"/>
              <w:left w:type="dxa" w:w="110"/>
              <w:bottom w:type="dxa" w:w="70"/>
              <w:right w:type="dxa" w:w="110"/>
            </w:tcMar>
          </w:tcPr>
          <w:p>
            <w:r>
              <w:rPr>
                <w:rFonts w:ascii="Calibri" w:cs="Calibri" w:eastAsia="Calibri" w:hAnsi="Calibri"/>
                <w:b w:val="false"/>
                <w:bCs w:val="false"/>
                <w:sz w:val="18"/>
                <w:szCs w:val="18"/>
              </w:rPr>
              <w:t xml:space="preserve">Medium</w:t>
            </w:r>
          </w:p>
        </w:tc>
        <w:tc>
          <w:tcPr>
            <w:tcW w:type="dxa" w:w="2560"/>
            <w:tcMar>
              <w:top w:type="dxa" w:w="70"/>
              <w:left w:type="dxa" w:w="110"/>
              <w:bottom w:type="dxa" w:w="70"/>
              <w:right w:type="dxa" w:w="110"/>
            </w:tcMar>
          </w:tcPr>
          <w:p>
            <w:r>
              <w:rPr>
                <w:rFonts w:ascii="Calibri" w:cs="Calibri" w:eastAsia="Calibri" w:hAnsi="Calibri"/>
                <w:b w:val="false"/>
                <w:bCs w:val="false"/>
                <w:sz w:val="18"/>
                <w:szCs w:val="18"/>
              </w:rPr>
              <w:t xml:space="preserve">Soon</w:t>
            </w:r>
          </w:p>
        </w:tc>
      </w:tr>
      <w:tr>
        <w:tc>
          <w:tcPr>
            <w:tcW w:type="dxa" w:w="700"/>
            <w:tcMar>
              <w:top w:type="dxa" w:w="70"/>
              <w:left w:type="dxa" w:w="110"/>
              <w:bottom w:type="dxa" w:w="70"/>
              <w:right w:type="dxa" w:w="110"/>
            </w:tcMar>
          </w:tcPr>
          <w:p>
            <w:r>
              <w:rPr>
                <w:rFonts w:ascii="Calibri" w:cs="Calibri" w:eastAsia="Calibri" w:hAnsi="Calibri"/>
                <w:b w:val="false"/>
                <w:bCs w:val="false"/>
                <w:sz w:val="18"/>
                <w:szCs w:val="18"/>
              </w:rPr>
              <w:t xml:space="preserve">F6</w:t>
            </w:r>
          </w:p>
        </w:tc>
        <w:tc>
          <w:tcPr>
            <w:tcW w:type="dxa" w:w="4900"/>
            <w:tcMar>
              <w:top w:type="dxa" w:w="70"/>
              <w:left w:type="dxa" w:w="110"/>
              <w:bottom w:type="dxa" w:w="70"/>
              <w:right w:type="dxa" w:w="110"/>
            </w:tcMar>
          </w:tcPr>
          <w:p>
            <w:r>
              <w:rPr>
                <w:rFonts w:ascii="Calibri" w:cs="Calibri" w:eastAsia="Calibri" w:hAnsi="Calibri"/>
                <w:b w:val="false"/>
                <w:bCs w:val="false"/>
                <w:sz w:val="18"/>
                <w:szCs w:val="18"/>
              </w:rPr>
              <w:t xml:space="preserve">Correct scripts/backup.sh header comments when F1 is applied.</w:t>
            </w:r>
          </w:p>
        </w:tc>
        <w:tc>
          <w:tcPr>
            <w:tcW w:type="dxa" w:w="1200"/>
            <w:tcMar>
              <w:top w:type="dxa" w:w="70"/>
              <w:left w:type="dxa" w:w="110"/>
              <w:bottom w:type="dxa" w:w="70"/>
              <w:right w:type="dxa" w:w="110"/>
            </w:tcMar>
          </w:tcPr>
          <w:p>
            <w:r>
              <w:rPr>
                <w:rFonts w:ascii="Calibri" w:cs="Calibri" w:eastAsia="Calibri" w:hAnsi="Calibri"/>
                <w:b w:val="false"/>
                <w:bCs w:val="false"/>
                <w:sz w:val="18"/>
                <w:szCs w:val="18"/>
              </w:rPr>
              <w:t xml:space="preserve">Low</w:t>
            </w:r>
          </w:p>
        </w:tc>
        <w:tc>
          <w:tcPr>
            <w:tcW w:type="dxa" w:w="2560"/>
            <w:tcMar>
              <w:top w:type="dxa" w:w="70"/>
              <w:left w:type="dxa" w:w="110"/>
              <w:bottom w:type="dxa" w:w="70"/>
              <w:right w:type="dxa" w:w="110"/>
            </w:tcMar>
          </w:tcPr>
          <w:p>
            <w:r>
              <w:rPr>
                <w:rFonts w:ascii="Calibri" w:cs="Calibri" w:eastAsia="Calibri" w:hAnsi="Calibri"/>
                <w:b w:val="false"/>
                <w:bCs w:val="false"/>
                <w:sz w:val="18"/>
                <w:szCs w:val="18"/>
              </w:rPr>
              <w:t xml:space="preserve">With F1</w:t>
            </w:r>
          </w:p>
        </w:tc>
      </w:tr>
    </w:tbl>
    <w:p>
      <w:pPr>
        <w:pStyle w:val="Heading1"/>
        <w:spacing w:after="140" w:before="300"/>
      </w:pPr>
      <w:r>
        <w:rPr>
          <w:rFonts w:ascii="Calibri" w:cs="Calibri" w:eastAsia="Calibri" w:hAnsi="Calibri"/>
          <w:b/>
          <w:bCs/>
          <w:color w:val="1F3864"/>
          <w:sz w:val="26"/>
          <w:szCs w:val="26"/>
        </w:rPr>
        <w:t xml:space="preserve">11.  Documents Assessed Clean</w:t>
      </w:r>
    </w:p>
    <w:p>
      <w:pPr>
        <w:spacing w:after="120" w:line="276"/>
      </w:pPr>
      <w:r>
        <w:rPr>
          <w:rFonts w:ascii="Calibri" w:cs="Calibri" w:eastAsia="Calibri" w:hAnsi="Calibri"/>
          <w:sz w:val="21"/>
          <w:szCs w:val="21"/>
        </w:rPr>
        <w:t xml:space="preserve">ADR-003, ADR-005, ADR-023, ADR-024 (all four are stubs, so this is weak evidence), ADR-040 and ADR-045.</w:t>
      </w:r>
    </w:p>
    <w:p>
      <w:pPr>
        <w:spacing w:after="120" w:line="276"/>
      </w:pPr>
      <w:r>
        <w:rPr>
          <w:rFonts w:ascii="Calibri" w:cs="Calibri" w:eastAsia="Calibri" w:hAnsi="Calibri"/>
          <w:sz w:val="21"/>
          <w:szCs w:val="21"/>
        </w:rPr>
        <w:t xml:space="preserve">ADR-036 is excluded — already superseded by ADR-044 on the day of this audit, and the instance that prompted it.</w:t>
      </w:r>
    </w:p>
    <w:p>
      <w:pPr>
        <w:pStyle w:val="Heading1"/>
        <w:spacing w:after="140" w:before="300"/>
      </w:pPr>
      <w:r>
        <w:rPr>
          <w:rFonts w:ascii="Calibri" w:cs="Calibri" w:eastAsia="Calibri" w:hAnsi="Calibri"/>
          <w:b/>
          <w:bCs/>
          <w:color w:val="1F3864"/>
          <w:sz w:val="26"/>
          <w:szCs w:val="26"/>
        </w:rPr>
        <w:t xml:space="preserve">12.  Observation on Method</w:t>
      </w:r>
    </w:p>
    <w:p>
      <w:pPr>
        <w:spacing w:after="120" w:line="276"/>
      </w:pPr>
      <w:r>
        <w:rPr>
          <w:rFonts w:ascii="Calibri" w:cs="Calibri" w:eastAsia="Calibri" w:hAnsi="Calibri"/>
          <w:sz w:val="21"/>
          <w:szCs w:val="21"/>
        </w:rPr>
        <w:t xml:space="preserve">The whole class was invisible until a decision forced it into view. ADR-036 had been DECIDED and apparently actionable for five months; it surfaced only because ADR-043 established what the hardware actually is, and even then by accident rather than by review.</w:t>
      </w:r>
    </w:p>
    <w:p>
      <w:pPr>
        <w:spacing w:after="120" w:line="276"/>
      </w:pPr>
      <w:r>
        <w:rPr>
          <w:rFonts w:ascii="Calibri" w:cs="Calibri" w:eastAsia="Calibri" w:hAnsi="Calibri"/>
          <w:i/>
          <w:iCs/>
          <w:sz w:val="21"/>
          <w:szCs w:val="21"/>
        </w:rPr>
        <w:t xml:space="preserve">The general lesson is that an assumption shared by every document in a corpus is not detectable by reading any one of them. It becomes visible only when something external contradicts it. Worth remembering for the other foundational assumptions this project has not yet had occasion to test.</w:t>
      </w:r>
    </w:p>
    <w:p>
      <w:pPr>
        <w:pStyle w:val="Heading1"/>
        <w:spacing w:after="140" w:before="300"/>
      </w:pPr>
      <w:r>
        <w:rPr>
          <w:rFonts w:ascii="Calibri" w:cs="Calibri" w:eastAsia="Calibri" w:hAnsi="Calibri"/>
          <w:b/>
          <w:bCs/>
          <w:color w:val="1F3864"/>
          <w:sz w:val="26"/>
          <w:szCs w:val="26"/>
        </w:rPr>
        <w:t xml:space="preserve">13.  Amendment — Audit Extended to Code, Scripts and Launchd Config (September 29, 2026)</w:t>
      </w:r>
    </w:p>
    <w:p>
      <w:pPr>
        <w:spacing w:after="120" w:line="276"/>
      </w:pPr>
      <w:r>
        <w:rPr>
          <w:rFonts w:ascii="Calibri" w:cs="Calibri" w:eastAsia="Calibri" w:hAnsi="Calibri"/>
          <w:sz w:val="21"/>
          <w:szCs w:val="21"/>
        </w:rPr>
        <w:t xml:space="preserve">Closes the scope limit stated in Section 3: F1 was found in a script, not an ADR, so the class size outside the ADR corpus was unknown. Approved by the operator; findings first recorded in changelog Entry #044, remediation of F7 in Entry #045.</w:t>
      </w:r>
    </w:p>
    <w:p>
      <w:pPr>
        <w:spacing w:after="120" w:line="276"/>
      </w:pPr>
      <w:r>
        <w:rPr>
          <w:rFonts w:ascii="Calibri" w:cs="Calibri" w:eastAsia="Calibri" w:hAnsi="Calibri"/>
          <w:b/>
          <w:bCs/>
          <w:sz w:val="21"/>
          <w:szCs w:val="21"/>
        </w:rPr>
        <w:t xml:space="preserve">Method. </w:t>
      </w:r>
      <w:r>
        <w:rPr>
          <w:rFonts w:ascii="Calibri" w:cs="Calibri" w:eastAsia="Calibri" w:hAnsi="Calibri"/>
          <w:sz w:val="21"/>
          <w:szCs w:val="21"/>
        </w:rPr>
        <w:t xml:space="preserve">51 tracked non-ADR files (application code, SQL, scripts, templates, project documents) were searched with the Section 3 indicators plus out-of-boundary paths. Every hit was verified against the live system — process table, launchctl list, launchctl print system, the macOS account list, and the database catalog. ~/Library/LaunchAgents, /Library/LaunchDaemons and /etc were not read (DATA_BOUNDARIES §2); launchd state was established through launchctl queries instead. The indicator vocabulary is still ADR-036-derived, so the Section 3 caveat stands: absence of a hit is not proof of soundness.</w:t>
      </w:r>
    </w:p>
    <w:p>
      <w:pPr>
        <w:spacing w:after="120" w:line="276"/>
      </w:pPr>
      <w:r>
        <w:rPr>
          <w:rFonts w:ascii="Calibri" w:cs="Calibri" w:eastAsia="Calibri" w:hAnsi="Calibri"/>
          <w:b/>
          <w:bCs/>
          <w:sz w:val="21"/>
          <w:szCs w:val="21"/>
        </w:rPr>
        <w:t xml:space="preserve">F7 — HIGH — RESOLVED September 29, 2026 — the audit log could not accept records.</w:t>
      </w:r>
    </w:p>
    <w:p>
      <w:pPr>
        <w:pStyle w:val="ListParagraph"/>
        <w:numPr>
          <w:ilvl w:val="0"/>
          <w:numId w:val="1"/>
        </w:numPr>
        <w:spacing w:after="80" w:line="276"/>
      </w:pPr>
      <w:r>
        <w:rPr>
          <w:rFonts w:ascii="Calibri" w:cs="Calibri" w:eastAsia="Calibri" w:hAnsi="Calibri"/>
          <w:sz w:val="21"/>
          <w:szCs w:val="21"/>
        </w:rPr>
        <w:t xml:space="preserve">agent_actions is range-partitioned on created_at. schema.sql created partitions for April–July 2026 only, with no DEFAULT partition and nothing that creates new ones. From 2026-08-01 every insert failed (“no partition of relation agent_actions found for row”) — verified by an insert inside a rolled-back transaction.</w:t>
      </w:r>
    </w:p>
    <w:p>
      <w:pPr>
        <w:pStyle w:val="ListParagraph"/>
        <w:numPr>
          <w:ilvl w:val="0"/>
          <w:numId w:val="1"/>
        </w:numPr>
        <w:spacing w:after="80" w:line="276"/>
      </w:pPr>
      <w:r>
        <w:rPr>
          <w:rFonts w:ascii="Calibri" w:cs="Calibri" w:eastAsia="Calibri" w:hAnsi="Calibri"/>
          <w:sz w:val="21"/>
          <w:szCs w:val="21"/>
        </w:rPr>
        <w:t xml:space="preserve">app/audit.py write_action() is unguarded and /agent returns only after it, so every /agent request from August 1 — Telegram persona messages and the Sunday digest — failed after its LLM call. The ADR-029 guarantee of one audit record per request was void for two months.</w:t>
      </w:r>
    </w:p>
    <w:p>
      <w:pPr>
        <w:pStyle w:val="ListParagraph"/>
        <w:numPr>
          <w:ilvl w:val="0"/>
          <w:numId w:val="1"/>
        </w:numPr>
        <w:spacing w:after="80" w:line="276"/>
      </w:pPr>
      <w:r>
        <w:rPr>
          <w:rFonts w:ascii="Calibri" w:cs="Calibri" w:eastAsia="Calibri" w:hAnsi="Calibri"/>
          <w:sz w:val="21"/>
          <w:szCs w:val="21"/>
        </w:rPr>
        <w:t xml:space="preserve">Operational impact was nil in practice: the operator confirms Telegram has not been used in months, which also explains why no row has been written since May 17, 2026. The Sunday digest is automated and would have failed each week from August 2; its logs were lost when the container was recreated on September 29, so this is inferred, not observed.</w:t>
      </w:r>
    </w:p>
    <w:p>
      <w:pPr>
        <w:pStyle w:val="ListParagraph"/>
        <w:numPr>
          <w:ilvl w:val="0"/>
          <w:numId w:val="1"/>
        </w:numPr>
        <w:spacing w:after="80" w:line="276"/>
      </w:pPr>
      <w:r>
        <w:rPr>
          <w:rFonts w:ascii="Calibri" w:cs="Calibri" w:eastAsia="Calibri" w:hAnsi="Calibri"/>
          <w:sz w:val="21"/>
          <w:szCs w:val="21"/>
        </w:rPr>
        <w:t xml:space="preserve">Same failure mode as the rest of this ADR: a finite provisioning step (four partitions) whose continuation was never assigned to anything that runs. Whether it was meant to be the F5 monthly job under the nonexistent dev account is unverified.</w:t>
      </w:r>
    </w:p>
    <w:p>
      <w:pPr>
        <w:pStyle w:val="ListParagraph"/>
        <w:numPr>
          <w:ilvl w:val="0"/>
          <w:numId w:val="1"/>
        </w:numPr>
        <w:spacing w:after="80" w:line="276"/>
      </w:pPr>
      <w:r>
        <w:rPr>
          <w:rFonts w:ascii="Calibri" w:cs="Calibri" w:eastAsia="Calibri" w:hAnsi="Calibri"/>
          <w:sz w:val="21"/>
          <w:szCs w:val="21"/>
        </w:rPr>
        <w:t xml:space="preserve">Resolution: migration 007 adds monthly partitions for August 2026 through December 2027 and a DEFAULT partition, so a missing month can no longer break audit writes. Schema version 7 → 8; schema.sql and REQUIRED_SCHEMA_VERSION updated; fresh-install path tested in a scratch database. Verified: the insert that failed now succeeds, 22 partitions, 0 rows in the default partition, existing 26 rows intact. Not verified end-to-end through /agent. </w:t>
      </w:r>
      <w:r>
        <w:rPr>
          <w:rFonts w:ascii="Calibri" w:cs="Calibri" w:eastAsia="Calibri" w:hAnsi="Calibri"/>
          <w:b/>
          <w:bCs/>
          <w:sz w:val="21"/>
          <w:szCs w:val="21"/>
        </w:rPr>
        <w:t xml:space="preserve">Follow-ups: </w:t>
      </w:r>
      <w:r>
        <w:rPr>
          <w:rFonts w:ascii="Calibri" w:cs="Calibri" w:eastAsia="Calibri" w:hAnsi="Calibri"/>
          <w:sz w:val="21"/>
          <w:szCs w:val="21"/>
        </w:rPr>
        <w:t xml:space="preserve">December 2027 is the next horizon; SELECT count(*) FROM agent_actions_default should stay 0; whether /agent should keep failing closed on an audit-write failure (NIST AU-5) is a separate operator decision.</w:t>
      </w:r>
    </w:p>
    <w:p>
      <w:pPr>
        <w:spacing w:after="120" w:line="276"/>
      </w:pPr>
      <w:r>
        <w:rPr>
          <w:rFonts w:ascii="Calibri" w:cs="Calibri" w:eastAsia="Calibri" w:hAnsi="Calibri"/>
          <w:b/>
          <w:bCs/>
          <w:sz w:val="21"/>
          <w:szCs w:val="21"/>
        </w:rPr>
        <w:t xml:space="preserve">F8 — MEDIUM — ADR-034 hardware telemetry was never deployed.</w:t>
      </w:r>
    </w:p>
    <w:p>
      <w:pPr>
        <w:pStyle w:val="ListParagraph"/>
        <w:numPr>
          <w:ilvl w:val="0"/>
          <w:numId w:val="1"/>
        </w:numPr>
        <w:spacing w:after="80" w:line="276"/>
      </w:pPr>
      <w:r>
        <w:rPr>
          <w:rFonts w:ascii="Calibri" w:cs="Calibri" w:eastAsia="Calibri" w:hAnsi="Calibri"/>
          <w:sz w:val="21"/>
          <w:szCs w:val="21"/>
        </w:rPr>
        <w:t xml:space="preserve">hw_collector.py, hw_collector_setup.py and hardware_metrics.sql assume a dev account, a root LaunchDaemon, a sudoers entry for powermetrics, and a Mac Studio M1 Max. None exists: no process, no system-launchd entry, and hardware_metrics holds 0 rows. The hardware_alerts view is percentage-based and would work if fed; nothing feeds it. Same class as F3 — a monitoring control that can never fire and therefore reads as healthy.</w:t>
      </w:r>
    </w:p>
    <w:p>
      <w:pPr>
        <w:spacing w:after="120" w:line="276"/>
      </w:pPr>
      <w:r>
        <w:rPr>
          <w:rFonts w:ascii="Calibri" w:cs="Calibri" w:eastAsia="Calibri" w:hAnsi="Calibri"/>
          <w:b/>
          <w:bCs/>
          <w:sz w:val="21"/>
          <w:szCs w:val="21"/>
        </w:rPr>
        <w:t xml:space="preserve">F9 — LOW — stale host references in code and project documents.</w:t>
      </w:r>
    </w:p>
    <w:p>
      <w:pPr>
        <w:pStyle w:val="ListParagraph"/>
        <w:numPr>
          <w:ilvl w:val="0"/>
          <w:numId w:val="1"/>
        </w:numPr>
        <w:spacing w:after="80" w:line="276"/>
      </w:pPr>
      <w:r>
        <w:rPr>
          <w:rFonts w:ascii="Calibri" w:cs="Calibri" w:eastAsia="Calibri" w:hAnsi="Calibri"/>
          <w:sz w:val="21"/>
          <w:szCs w:val="21"/>
        </w:rPr>
        <w:t xml:space="preserve">Model-tier labels 7B / 14B / 32B in app/models.py and schema.sql, and “14B” in federal_policy_brief_DECISIONS.md, against the deployed gemma4:e4b.</w:t>
      </w:r>
    </w:p>
    <w:p>
      <w:pPr>
        <w:pStyle w:val="ListParagraph"/>
        <w:numPr>
          <w:ilvl w:val="0"/>
          <w:numId w:val="1"/>
        </w:numPr>
        <w:spacing w:after="80" w:line="276"/>
      </w:pPr>
      <w:r>
        <w:rPr>
          <w:rFonts w:ascii="Calibri" w:cs="Calibri" w:eastAsia="Calibri" w:hAnsi="Calibri"/>
          <w:sz w:val="21"/>
          <w:szCs w:val="21"/>
        </w:rPr>
        <w:t xml:space="preserve">federal_policy_brief_CODE_REFERENCE.md lists scraped_content and brief_runs as “OPEN — setup day”; both tables exist and are in production use.</w:t>
      </w:r>
    </w:p>
    <w:p>
      <w:pPr>
        <w:pStyle w:val="ListParagraph"/>
        <w:numPr>
          <w:ilvl w:val="0"/>
          <w:numId w:val="1"/>
        </w:numPr>
        <w:spacing w:after="80" w:line="276"/>
      </w:pPr>
      <w:r>
        <w:rPr>
          <w:rFonts w:ascii="Calibri" w:cs="Calibri" w:eastAsia="Calibri" w:hAnsi="Calibri"/>
          <w:sz w:val="21"/>
          <w:szCs w:val="21"/>
        </w:rPr>
        <w:t xml:space="preserve">“Setup day” in app/db.py and app/persona_router.py; scripts/com.openclaw.backup.plist.template plans a “Mac Studio setup day” removal and a move to the ADR-020 dev account (F4 and F5 in a script).</w:t>
      </w:r>
    </w:p>
    <w:p>
      <w:pPr>
        <w:spacing w:after="120" w:line="276"/>
      </w:pPr>
      <w:r>
        <w:rPr>
          <w:rFonts w:ascii="Calibri" w:cs="Calibri" w:eastAsia="Calibri" w:hAnsi="Calibri"/>
          <w:b/>
          <w:bCs/>
          <w:sz w:val="21"/>
          <w:szCs w:val="21"/>
        </w:rPr>
        <w:t xml:space="preserve">Assessed clean: </w:t>
      </w:r>
      <w:r>
        <w:rPr>
          <w:rFonts w:ascii="Calibri" w:cs="Calibri" w:eastAsia="Calibri" w:hAnsi="Calibri"/>
          <w:sz w:val="21"/>
          <w:szCs w:val="21"/>
        </w:rPr>
        <w:t xml:space="preserve">scripts/backup.sh — the F1 and F6 fixes hold; its remaining hits are historical notes and the sanctioned offsite path.</w:t>
      </w:r>
    </w:p>
    <w:p>
      <w:pPr>
        <w:spacing w:after="120" w:line="276"/>
      </w:pPr>
      <w:r>
        <w:rPr>
          <w:rFonts w:ascii="Calibri" w:cs="Calibri" w:eastAsia="Calibri" w:hAnsi="Calibri"/>
          <w:b/>
          <w:bCs/>
          <w:sz w:val="21"/>
          <w:szCs w:val="21"/>
        </w:rPr>
        <w:t xml:space="preserve">Remediation plan additions. </w:t>
      </w:r>
      <w:r>
        <w:rPr>
          <w:rFonts w:ascii="Calibri" w:cs="Calibri" w:eastAsia="Calibri" w:hAnsi="Calibri"/>
          <w:sz w:val="21"/>
          <w:szCs w:val="21"/>
        </w:rPr>
        <w:t xml:space="preserve">F7 — done. F8 — decide whether to deploy telemetry on this host (sudoers and a root LaunchDaemon are real privilege grants, weigh against ADR-045) or mark ADR-034 as pending hardware; Medium, Soon. F9 — correct comments and documents opportunistically; Low.</w:t>
      </w:r>
    </w:p>
    <w:p>
      <w:pPr>
        <w:pBdr>
          <w:top w:val="single" w:color="CCCCCC" w:sz="6" w:space="8"/>
        </w:pBdr>
        <w:spacing w:before="360"/>
      </w:pPr>
      <w:r>
        <w:rPr>
          <w:rFonts w:ascii="Calibri" w:cs="Calibri" w:eastAsia="Calibri" w:hAnsi="Calibri"/>
          <w:i/>
          <w:iCs/>
          <w:color w:val="777777"/>
          <w:sz w:val="18"/>
          <w:szCs w:val="18"/>
        </w:rPr>
        <w:t xml:space="preserve">Sheldon Wheeler — OpenClaw Personal Stack — ADR-046 — Audited September 20, 2026; amended September 29, 2026 — Status OPEN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ADR-046 — Dedicated-Host Assumption Audit</dc:title>
  <dc:creator>Sheldon Wheeler</dc:creator>
  <cp:lastModifiedBy>Un-named</cp:lastModifiedBy>
  <cp:revision>1</cp:revision>
  <dcterms:created xsi:type="dcterms:W3CDTF">2026-09-20T15:28:50.449Z</dcterms:created>
  <dcterms:modified xsi:type="dcterms:W3CDTF">2026-09-20T15:28:50.454Z</dcterms:modified>
</cp:coreProperties>
</file>

<file path=docProps/custom.xml><?xml version="1.0" encoding="utf-8"?>
<Properties xmlns="http://schemas.openxmlformats.org/officeDocument/2006/custom-properties" xmlns:vt="http://schemas.openxmlformats.org/officeDocument/2006/docPropsVTypes"/>
</file>