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ADR-045</w:t>
      </w:r>
    </w:p>
    <w:p>
      <w:pPr>
        <w:spacing w:after="60"/>
      </w:pPr>
      <w:r>
        <w:rPr>
          <w:rFonts w:ascii="Calibri" w:cs="Calibri" w:eastAsia="Calibri" w:hAnsi="Calibri"/>
          <w:b/>
          <w:bCs/>
          <w:sz w:val="26"/>
          <w:szCs w:val="26"/>
        </w:rPr>
        <w:t xml:space="preserve">Filesystem Boundary Enforcement — Amendment to ADR-040</w:t>
      </w:r>
    </w:p>
    <w:p>
      <w:pPr>
        <w:pBdr>
          <w:bottom w:val="single" w:color="1F3864" w:sz="6" w:space="8"/>
        </w:pBdr>
        <w:spacing w:after="200"/>
      </w:pPr>
      <w:r>
        <w:rPr>
          <w:rFonts w:ascii="Calibri" w:cs="Calibri" w:eastAsia="Calibri" w:hAnsi="Calibri"/>
          <w:color w:val="555555"/>
          <w:sz w:val="20"/>
          <w:szCs w:val="20"/>
        </w:rPr>
        <w:t xml:space="preserve">OpenClaw — Phase 1    |    Decided September 20, 2026    |    Status DECIDED    |    Amends ADR-040</w:t>
      </w:r>
    </w:p>
    <w:p>
      <w:pPr>
        <w:pStyle w:val="Heading1"/>
        <w:spacing w:after="140" w:before="280"/>
      </w:pPr>
      <w:r>
        <w:rPr>
          <w:rFonts w:ascii="Calibri" w:cs="Calibri" w:eastAsia="Calibri" w:hAnsi="Calibri"/>
          <w:b/>
          <w:bCs/>
          <w:color w:val="1F3864"/>
          <w:sz w:val="26"/>
          <w:szCs w:val="26"/>
        </w:rPr>
        <w:t xml:space="preserve">1.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Number</w:t>
            </w:r>
          </w:p>
        </w:tc>
        <w:tc>
          <w:tcPr>
            <w:tcW w:type="dxa" w:w="6660"/>
            <w:tcMar>
              <w:top w:type="dxa" w:w="80"/>
              <w:left w:type="dxa" w:w="120"/>
              <w:bottom w:type="dxa" w:w="80"/>
              <w:right w:type="dxa" w:w="120"/>
            </w:tcMar>
          </w:tcPr>
          <w:p>
            <w:r>
              <w:rPr>
                <w:rFonts w:ascii="Calibri" w:cs="Calibri" w:eastAsia="Calibri" w:hAnsi="Calibri"/>
                <w:sz w:val="20"/>
                <w:szCs w:val="20"/>
              </w:rPr>
              <w:t xml:space="preserve">ADR-045</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6660"/>
            <w:tcMar>
              <w:top w:type="dxa" w:w="80"/>
              <w:left w:type="dxa" w:w="120"/>
              <w:bottom w:type="dxa" w:w="80"/>
              <w:right w:type="dxa" w:w="120"/>
            </w:tcMar>
          </w:tcPr>
          <w:p>
            <w:r>
              <w:rPr>
                <w:rFonts w:ascii="Calibri" w:cs="Calibri" w:eastAsia="Calibri" w:hAnsi="Calibri"/>
                <w:sz w:val="20"/>
                <w:szCs w:val="20"/>
              </w:rPr>
              <w:t xml:space="preserve">Filesystem Boundary Enforcement — Amendment to ADR-040</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660"/>
            <w:tcMar>
              <w:top w:type="dxa" w:w="80"/>
              <w:left w:type="dxa" w:w="120"/>
              <w:bottom w:type="dxa" w:w="80"/>
              <w:right w:type="dxa" w:w="120"/>
            </w:tcMar>
          </w:tcPr>
          <w:p>
            <w:r>
              <w:rPr>
                <w:rFonts w:ascii="Calibri" w:cs="Calibri" w:eastAsia="Calibri" w:hAnsi="Calibri"/>
                <w:sz w:val="20"/>
                <w:szCs w:val="20"/>
              </w:rPr>
              <w:t xml:space="preserve">DECIDED — September 20, 2026. IMPLEMENTATION: §8.2 done September 29, 2026 (Entry #041). §8.3 done September 29, 2026 — built Entry #042, live-verified Entry #048: an out-of-boundary ls raised a Deny / Allow-once prompt (the prompt does not visibly show the guard's reason text), confirmed by the hook's run log (scripts/hooks/traversal_guard.log). Per §8.4 the hook is a speed bump, not a boundary; AC-3 remains NOT MET.</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Deciders</w:t>
            </w:r>
          </w:p>
        </w:tc>
        <w:tc>
          <w:tcPr>
            <w:tcW w:type="dxa" w:w="6660"/>
            <w:tcMar>
              <w:top w:type="dxa" w:w="80"/>
              <w:left w:type="dxa" w:w="120"/>
              <w:bottom w:type="dxa" w:w="80"/>
              <w:right w:type="dxa" w:w="120"/>
            </w:tcMar>
          </w:tcPr>
          <w:p>
            <w:r>
              <w:rPr>
                <w:rFonts w:ascii="Calibri" w:cs="Calibri" w:eastAsia="Calibri" w:hAnsi="Calibri"/>
                <w:sz w:val="20"/>
                <w:szCs w:val="20"/>
              </w:rPr>
              <w:t xml:space="preserve">Sheldon Wheeler (owner, sole operator)</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Amends</w:t>
            </w:r>
          </w:p>
        </w:tc>
        <w:tc>
          <w:tcPr>
            <w:tcW w:type="dxa" w:w="6660"/>
            <w:tcMar>
              <w:top w:type="dxa" w:w="80"/>
              <w:left w:type="dxa" w:w="120"/>
              <w:bottom w:type="dxa" w:w="80"/>
              <w:right w:type="dxa" w:w="120"/>
            </w:tcMar>
          </w:tcPr>
          <w:p>
            <w:r>
              <w:rPr>
                <w:rFonts w:ascii="Calibri" w:cs="Calibri" w:eastAsia="Calibri" w:hAnsi="Calibri"/>
                <w:sz w:val="20"/>
                <w:szCs w:val="20"/>
              </w:rPr>
              <w:t xml:space="preserve">ADR-040 — Filesystem Boundary and Sensitive Data Separation Policy (DECIDED April 19, 2026). ADR-040's intent and prohibited-path list are unchanged. This ADR addresses enforcement, scope language, and control classification.</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ADR References</w:t>
            </w:r>
          </w:p>
        </w:tc>
        <w:tc>
          <w:tcPr>
            <w:tcW w:type="dxa" w:w="6660"/>
            <w:tcMar>
              <w:top w:type="dxa" w:w="80"/>
              <w:left w:type="dxa" w:w="120"/>
              <w:bottom w:type="dxa" w:w="80"/>
              <w:right w:type="dxa" w:w="120"/>
            </w:tcMar>
          </w:tcPr>
          <w:p>
            <w:r>
              <w:rPr>
                <w:rFonts w:ascii="Calibri" w:cs="Calibri" w:eastAsia="Calibri" w:hAnsi="Calibri"/>
                <w:sz w:val="20"/>
                <w:szCs w:val="20"/>
              </w:rPr>
              <w:t xml:space="preserve">ADR-040 (amended); ADR-014 (Claude Code operating scope); ADR-030 (network egress whitelist — the precedent for minimal defined scope); ADR-033 (skill/tool registry declaring permitted paths); ADR-031 (change management)</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NIST Controls</w:t>
            </w:r>
          </w:p>
        </w:tc>
        <w:tc>
          <w:tcPr>
            <w:tcW w:type="dxa" w:w="6660"/>
            <w:tcMar>
              <w:top w:type="dxa" w:w="80"/>
              <w:left w:type="dxa" w:w="120"/>
              <w:bottom w:type="dxa" w:w="80"/>
              <w:right w:type="dxa" w:w="120"/>
            </w:tcMar>
          </w:tcPr>
          <w:p>
            <w:r>
              <w:rPr>
                <w:rFonts w:ascii="Calibri" w:cs="Calibri" w:eastAsia="Calibri" w:hAnsi="Calibri"/>
                <w:sz w:val="20"/>
                <w:szCs w:val="20"/>
              </w:rPr>
              <w:t xml:space="preserve">PROPOSED — AC-3, AC-6, AU-6, PL-4, CM-7. See Section 7, which reclassifies ADR-040's own mapping. Verify against NIST SP 800-53 Rev. 5 before treating as authoritative.</w:t>
            </w:r>
          </w:p>
        </w:tc>
      </w:tr>
      <w:tr>
        <w:tc>
          <w:tcPr>
            <w:tcW w:type="dxa" w:w="2700"/>
            <w:shd w:fill="F2F2F2" w:val="clear"/>
            <w:tcMar>
              <w:top w:type="dxa" w:w="80"/>
              <w:left w:type="dxa" w:w="120"/>
              <w:bottom w:type="dxa" w:w="80"/>
              <w:right w:type="dxa" w:w="120"/>
            </w:tcMar>
          </w:tcPr>
          <w:p>
            <w:r>
              <w:rPr>
                <w:rFonts w:ascii="Calibri" w:cs="Calibri" w:eastAsia="Calibri" w:hAnsi="Calibri"/>
                <w:b/>
                <w:bCs/>
                <w:sz w:val="20"/>
                <w:szCs w:val="20"/>
              </w:rPr>
              <w:t xml:space="preserve">Phase Scope</w:t>
            </w:r>
          </w:p>
        </w:tc>
        <w:tc>
          <w:tcPr>
            <w:tcW w:type="dxa" w:w="6660"/>
            <w:tcMar>
              <w:top w:type="dxa" w:w="80"/>
              <w:left w:type="dxa" w:w="120"/>
              <w:bottom w:type="dxa" w:w="80"/>
              <w:right w:type="dxa" w:w="120"/>
            </w:tcMar>
          </w:tcPr>
          <w:p>
            <w:r>
              <w:rPr>
                <w:rFonts w:ascii="Calibri" w:cs="Calibri" w:eastAsia="Calibri" w:hAnsi="Calibri"/>
                <w:sz w:val="20"/>
                <w:szCs w:val="20"/>
              </w:rPr>
              <w:t xml:space="preserve">Phase 1 — governance, with one technical implementation item (Section 8).</w:t>
            </w:r>
          </w:p>
        </w:tc>
      </w:tr>
    </w:tbl>
    <w:p>
      <w:pPr>
        <w:pStyle w:val="Heading1"/>
        <w:spacing w:after="140" w:before="280"/>
      </w:pPr>
      <w:r>
        <w:rPr>
          <w:rFonts w:ascii="Calibri" w:cs="Calibri" w:eastAsia="Calibri" w:hAnsi="Calibri"/>
          <w:b/>
          <w:bCs/>
          <w:color w:val="1F3864"/>
          <w:sz w:val="26"/>
          <w:szCs w:val="26"/>
        </w:rPr>
        <w:t xml:space="preserve">2.  Problem Statement</w:t>
      </w:r>
    </w:p>
    <w:p>
      <w:pPr>
        <w:spacing w:after="120" w:line="276"/>
      </w:pPr>
      <w:r>
        <w:rPr>
          <w:rFonts w:ascii="Calibri" w:cs="Calibri" w:eastAsia="Calibri" w:hAnsi="Calibri"/>
          <w:sz w:val="21"/>
          <w:szCs w:val="21"/>
        </w:rPr>
        <w:t xml:space="preserve">DATA_BOUNDARIES.md Section 2 has been breached three times in five months, under a policy whose text never changed:</w:t>
      </w:r>
    </w:p>
    <w:p>
      <w:pPr>
        <w:pStyle w:val="ListParagraph"/>
        <w:numPr>
          <w:ilvl w:val="0"/>
          <w:numId w:val="1"/>
        </w:numPr>
        <w:spacing w:after="80" w:line="276"/>
      </w:pPr>
      <w:r>
        <w:rPr>
          <w:rFonts w:ascii="Calibri" w:cs="Calibri" w:eastAsia="Calibri" w:hAnsi="Calibri"/>
          <w:sz w:val="21"/>
          <w:szCs w:val="21"/>
        </w:rPr>
        <w:t xml:space="preserve">Session 16, April 19, 2026 — a command locating the backup folder listed the iCloud Drive root, displaying filenames including Federal Tax Information belonging to a family member. This event created ADR-040.</w:t>
      </w:r>
    </w:p>
    <w:p>
      <w:pPr>
        <w:pStyle w:val="ListParagraph"/>
        <w:numPr>
          <w:ilvl w:val="0"/>
          <w:numId w:val="1"/>
        </w:numPr>
        <w:spacing w:after="80" w:line="276"/>
      </w:pPr>
      <w:r>
        <w:rPr>
          <w:rFonts w:ascii="Calibri" w:cs="Calibri" w:eastAsia="Calibri" w:hAnsi="Calibri"/>
          <w:sz w:val="21"/>
          <w:szCs w:val="21"/>
        </w:rPr>
        <w:t xml:space="preserve">Entry #029, August 23, 2026 — `ls -d ~/Library/Mobile Documents/com~apple~CloudDocs/*ackup*` caused the shell to glob the prohibited iCloud root to resolve the pattern. Recorded at the time with the lesson 'a glob is a directory read,' and the observation that the policy binds interactive shell commands, not only application code.</w:t>
      </w:r>
    </w:p>
    <w:p>
      <w:pPr>
        <w:pStyle w:val="ListParagraph"/>
        <w:numPr>
          <w:ilvl w:val="0"/>
          <w:numId w:val="1"/>
        </w:numPr>
        <w:spacing w:after="80" w:line="276"/>
      </w:pPr>
      <w:r>
        <w:rPr>
          <w:rFonts w:ascii="Calibri" w:cs="Calibri" w:eastAsia="Calibri" w:hAnsi="Calibri"/>
          <w:sz w:val="21"/>
          <w:szCs w:val="21"/>
        </w:rPr>
        <w:t xml:space="preserve">Entry #030, September 20, 2026 — `du -sh */` and `du -sh .[a-zA-Z]*/` run in the home directory during a disk investigation traversed ~/Documents, ~/Desktop and ~/Library, the last necessarily entering the FTI-bearing iCloud root. No contents were read and no filenames displayed — aggregate byte counts only — but Section 2 prohibits listing and traversal, not merely reading.</w:t>
      </w:r>
    </w:p>
    <w:p>
      <w:pPr>
        <w:spacing w:after="120" w:line="276"/>
      </w:pPr>
      <w:r>
        <w:rPr>
          <w:rFonts w:ascii="Calibri" w:cs="Calibri" w:eastAsia="Calibri" w:hAnsi="Calibri"/>
          <w:b/>
          <w:bCs/>
          <w:sz w:val="21"/>
          <w:szCs w:val="21"/>
        </w:rPr>
        <w:t xml:space="preserve">Three recurrences under an unchanged policy is evidence about the control, not about any individual session. Each breach was committed by a party who had access to the policy and would have complied had they consulted it. The control depends entirely on being remembered at the moment a command is composed, and that is where it fails.</w:t>
      </w:r>
    </w:p>
    <w:p>
      <w:pPr>
        <w:pStyle w:val="Heading1"/>
        <w:spacing w:after="140" w:before="280"/>
      </w:pPr>
      <w:r>
        <w:rPr>
          <w:rFonts w:ascii="Calibri" w:cs="Calibri" w:eastAsia="Calibri" w:hAnsi="Calibri"/>
          <w:b/>
          <w:bCs/>
          <w:color w:val="1F3864"/>
          <w:sz w:val="26"/>
          <w:szCs w:val="26"/>
        </w:rPr>
        <w:t xml:space="preserve">3.  The Three Gaps</w:t>
      </w:r>
    </w:p>
    <w:p>
      <w:pPr>
        <w:spacing w:after="120" w:line="276"/>
      </w:pPr>
      <w:r>
        <w:rPr>
          <w:rFonts w:ascii="Calibri" w:cs="Calibri" w:eastAsia="Calibri" w:hAnsi="Calibri"/>
          <w:b/>
          <w:bCs/>
          <w:sz w:val="21"/>
          <w:szCs w:val="21"/>
        </w:rPr>
        <w:t xml:space="preserve">Gap A — nothing enforces the policy at the point of execution.</w:t>
      </w:r>
    </w:p>
    <w:p>
      <w:pPr>
        <w:spacing w:after="120" w:line="276"/>
      </w:pPr>
      <w:r>
        <w:rPr>
          <w:rFonts w:ascii="Calibri" w:cs="Calibri" w:eastAsia="Calibri" w:hAnsi="Calibri"/>
          <w:sz w:val="21"/>
          <w:szCs w:val="21"/>
        </w:rPr>
        <w:t xml:space="preserve">DATA_BOUNDARIES.md is a document. Application code can be reviewed against it before deployment; ad-hoc shell commands cannot, because they are composed and executed in the same instant. There is no checkpoint between intent and effect.</w:t>
      </w:r>
    </w:p>
    <w:p>
      <w:pPr>
        <w:spacing w:after="120" w:line="276"/>
      </w:pPr>
      <w:r>
        <w:rPr>
          <w:rFonts w:ascii="Calibri" w:cs="Calibri" w:eastAsia="Calibri" w:hAnsi="Calibri"/>
          <w:b/>
          <w:bCs/>
          <w:sz w:val="21"/>
          <w:szCs w:val="21"/>
        </w:rPr>
        <w:t xml:space="preserve">Gap B — the Claude Code allowlist is a second permission surface that can grant what Section 2 forbids.</w:t>
      </w:r>
    </w:p>
    <w:p>
      <w:pPr>
        <w:spacing w:after="120" w:line="276"/>
      </w:pPr>
      <w:r>
        <w:rPr>
          <w:rFonts w:ascii="Calibri" w:cs="Calibri" w:eastAsia="Calibri" w:hAnsi="Calibri"/>
          <w:sz w:val="21"/>
          <w:szCs w:val="21"/>
        </w:rPr>
        <w:t xml:space="preserve">Identified in Entry #029 and still open. `.claude/settings.local.json` contains `Read(//Users/sheldonwheeler/**)`, pre-authorising reads across the entire home directory including all three Section 2 paths. ADR-040 claims no authority over that file. Because it is covered by the global gitignore it is not in version control, so the contradiction never appears in a diff and cannot be caught in review. A narrow replacement — `Read(//Users/sheldonwheeler/openclaw/**)` — already exists alongside it.</w:t>
      </w:r>
    </w:p>
    <w:p>
      <w:pPr>
        <w:spacing w:after="120" w:line="276"/>
      </w:pPr>
      <w:r>
        <w:rPr>
          <w:rFonts w:ascii="Calibri" w:cs="Calibri" w:eastAsia="Calibri" w:hAnsi="Calibri"/>
          <w:b/>
          <w:bCs/>
          <w:sz w:val="21"/>
          <w:szCs w:val="21"/>
        </w:rPr>
        <w:t xml:space="preserve">Gap C — Section 2's scope language reads as though it governs the application.</w:t>
      </w:r>
    </w:p>
    <w:p>
      <w:pPr>
        <w:spacing w:after="120" w:line="276"/>
      </w:pPr>
      <w:r>
        <w:rPr>
          <w:rFonts w:ascii="Calibri" w:cs="Calibri" w:eastAsia="Calibri" w:hAnsi="Calibri"/>
          <w:sz w:val="21"/>
          <w:szCs w:val="21"/>
        </w:rPr>
        <w:t xml:space="preserve">The heading is 'What OpenClaw May Never Touch,' and ADR-040 Section 2 frames the risk as 'any future agent, scraper, or automated task.' An interactive shell command issued during a Claude Code session is not obviously 'OpenClaw' under that wording. Entry #029 concluded the policy does bind such commands, but the governing text was never updated to say so, leaving each session to rediscover the interpretation.</w:t>
      </w:r>
    </w:p>
    <w:p>
      <w:pPr>
        <w:pStyle w:val="Heading1"/>
        <w:spacing w:after="140" w:before="280"/>
      </w:pPr>
      <w:r>
        <w:rPr>
          <w:rFonts w:ascii="Calibri" w:cs="Calibri" w:eastAsia="Calibri" w:hAnsi="Calibri"/>
          <w:b/>
          <w:bCs/>
          <w:color w:val="1F3864"/>
          <w:sz w:val="26"/>
          <w:szCs w:val="26"/>
        </w:rPr>
        <w:t xml:space="preserve">4.  Structural Finding — shell is a universal bypass of path-based permission</w:t>
      </w:r>
    </w:p>
    <w:p>
      <w:pPr>
        <w:spacing w:after="120" w:line="276"/>
      </w:pPr>
      <w:r>
        <w:rPr>
          <w:rFonts w:ascii="Calibri" w:cs="Calibri" w:eastAsia="Calibri" w:hAnsi="Calibri"/>
          <w:sz w:val="21"/>
          <w:szCs w:val="21"/>
        </w:rPr>
        <w:t xml:space="preserve">This is the finding that determines what enforcement is actually achievable, and it was not understood when ADR-040 was written.</w:t>
      </w:r>
    </w:p>
    <w:p>
      <w:pPr>
        <w:spacing w:after="120" w:line="276"/>
      </w:pPr>
      <w:r>
        <w:rPr>
          <w:rFonts w:ascii="Calibri" w:cs="Calibri" w:eastAsia="Calibri" w:hAnsi="Calibri"/>
          <w:sz w:val="21"/>
          <w:szCs w:val="21"/>
        </w:rPr>
        <w:t xml:space="preserve">Claude Code permission rules match Bash invocations against command strings, not against the filesystem paths those commands ultimately touch. A grant of `Bash(du:*)` permits du anywhere on the volume. There is no expressible rule of the form 'du, but only within ~/openclaw'.</w:t>
      </w:r>
    </w:p>
    <w:p>
      <w:pPr>
        <w:spacing w:after="120" w:line="276"/>
      </w:pPr>
      <w:r>
        <w:rPr>
          <w:rFonts w:ascii="Calibri" w:cs="Calibri" w:eastAsia="Calibri" w:hAnsi="Calibri"/>
          <w:sz w:val="21"/>
          <w:szCs w:val="21"/>
        </w:rPr>
        <w:t xml:space="preserve">The consequence is that every path-scoped Read rule in the allowlist is enforced only against the Read tool, and becomes irrelevant the moment the same data is reachable through a shell command. Any meaningful Bash grant is, in practice, unbounded filesystem read access.</w:t>
      </w:r>
    </w:p>
    <w:p>
      <w:pPr>
        <w:spacing w:after="120" w:line="276"/>
      </w:pPr>
      <w:r>
        <w:rPr>
          <w:rFonts w:ascii="Calibri" w:cs="Calibri" w:eastAsia="Calibri" w:hAnsi="Calibri"/>
          <w:sz w:val="21"/>
          <w:szCs w:val="21"/>
        </w:rPr>
        <w:t xml:space="preserve">A corollary that shaped the decision below: a hook scanning commands for prohibited path literals would not have caught the September 20 breach. `cd ~ &amp;&amp; du -sh */` contains no prohibited path — the traversal is produced by a glob resolved after the command is approved. Blacklisting paths defends against the naive case and misses the realistic one.</w:t>
      </w:r>
    </w:p>
    <w:p>
      <w:pPr>
        <w:pStyle w:val="Heading1"/>
        <w:spacing w:after="140" w:before="280"/>
      </w:pPr>
      <w:r>
        <w:rPr>
          <w:rFonts w:ascii="Calibri" w:cs="Calibri" w:eastAsia="Calibri" w:hAnsi="Calibri"/>
          <w:b/>
          <w:bCs/>
          <w:color w:val="1F3864"/>
          <w:sz w:val="26"/>
          <w:szCs w:val="26"/>
        </w:rPr>
        <w:t xml:space="preserve">5.  Options Considered</w:t>
      </w:r>
    </w:p>
    <w:p>
      <w:pPr>
        <w:spacing w:after="120" w:line="276"/>
      </w:pPr>
      <w:r>
        <w:rPr>
          <w:rFonts w:ascii="Calibri" w:cs="Calibri" w:eastAsia="Calibri" w:hAnsi="Calibri"/>
          <w:sz w:val="21"/>
          <w:szCs w:val="21"/>
        </w:rPr>
        <w:t xml:space="preserve">Option 1 — Correct the scope language. Rewrite Section 2 to bind every execution surface explicitly: application code, scheduled jobs, and interactive shell commands issued by any agent or operator. Cheap; removes ambiguity; prevents nothing on its own. ACCEPTED.</w:t>
      </w:r>
    </w:p>
    <w:p>
      <w:pPr>
        <w:spacing w:after="120" w:line="276"/>
      </w:pPr>
      <w:r>
        <w:rPr>
          <w:rFonts w:ascii="Calibri" w:cs="Calibri" w:eastAsia="Calibri" w:hAnsi="Calibri"/>
          <w:sz w:val="21"/>
          <w:szCs w:val="21"/>
        </w:rPr>
        <w:t xml:space="preserve">Option 2 — Bring the allowlist under ADR-040's authority. Declare `.claude/settings.local.json` a governed artifact, narrow the home-wide Read grant, and mandate periodic manual review given that it cannot be diffed. Cheap; closes a real hole. ACCEPTED.</w:t>
      </w:r>
    </w:p>
    <w:p>
      <w:pPr>
        <w:spacing w:after="120" w:line="276"/>
      </w:pPr>
      <w:r>
        <w:rPr>
          <w:rFonts w:ascii="Calibri" w:cs="Calibri" w:eastAsia="Calibri" w:hAnsi="Calibri"/>
          <w:sz w:val="21"/>
          <w:szCs w:val="21"/>
        </w:rPr>
        <w:t xml:space="preserve">Option 3 — PreToolUse hook gating traversal verbs. The only option that enforces anything at the point of execution. Built around commands rather than paths, for the reason given in Section 4. ACCEPTED, see Section 8.</w:t>
      </w:r>
    </w:p>
    <w:p>
      <w:pPr>
        <w:spacing w:after="120" w:line="276"/>
      </w:pPr>
      <w:r>
        <w:rPr>
          <w:rFonts w:ascii="Calibri" w:cs="Calibri" w:eastAsia="Calibri" w:hAnsi="Calibri"/>
          <w:sz w:val="21"/>
          <w:szCs w:val="21"/>
        </w:rPr>
        <w:t xml:space="preserve">Option 4 — OS-level isolation: a separate macOS account with ACL denials, or a sandbox-exec profile confining the process tree. Genuinely airtight and the only option that would survive a determined mistake. REJECTED as disproportionate for a single-operator personal stack, and because the operator owns the protected files, which defeats ordinary POSIX permissions. Recorded so the reasoning is available if the posture ever needs to change.</w:t>
      </w:r>
    </w:p>
    <w:p>
      <w:pPr>
        <w:spacing w:after="120" w:line="276"/>
      </w:pPr>
      <w:r>
        <w:rPr>
          <w:rFonts w:ascii="Calibri" w:cs="Calibri" w:eastAsia="Calibri" w:hAnsi="Calibri"/>
          <w:sz w:val="21"/>
          <w:szCs w:val="21"/>
        </w:rPr>
        <w:t xml:space="preserve">Option 5 — Reclassify the control honestly. ACCEPTED, and treated as the most important of the five. See Section 7.</w:t>
      </w:r>
    </w:p>
    <w:p>
      <w:pPr>
        <w:pStyle w:val="Heading1"/>
        <w:spacing w:after="140" w:before="280"/>
      </w:pPr>
      <w:r>
        <w:rPr>
          <w:rFonts w:ascii="Calibri" w:cs="Calibri" w:eastAsia="Calibri" w:hAnsi="Calibri"/>
          <w:b/>
          <w:bCs/>
          <w:color w:val="1F3864"/>
          <w:sz w:val="26"/>
          <w:szCs w:val="26"/>
        </w:rPr>
        <w:t xml:space="preserve">6.  Decision</w:t>
      </w:r>
    </w:p>
    <w:p>
      <w:pPr>
        <w:spacing w:after="120" w:line="276"/>
      </w:pPr>
      <w:r>
        <w:rPr>
          <w:rFonts w:ascii="Calibri" w:cs="Calibri" w:eastAsia="Calibri" w:hAnsi="Calibri"/>
          <w:b/>
          <w:bCs/>
          <w:sz w:val="21"/>
          <w:szCs w:val="21"/>
        </w:rPr>
        <w:t xml:space="preserve">Options 1, 2, 3 and 5 are adopted. Option 4 is rejected with reasons recorded.</w:t>
      </w:r>
    </w:p>
    <w:p>
      <w:pPr>
        <w:spacing w:after="120" w:line="276"/>
      </w:pPr>
      <w:r>
        <w:rPr>
          <w:rFonts w:ascii="Calibri" w:cs="Calibri" w:eastAsia="Calibri" w:hAnsi="Calibri"/>
          <w:sz w:val="21"/>
          <w:szCs w:val="21"/>
        </w:rPr>
        <w:t xml:space="preserve">ADR-040's intent, its prohibited-path list, and its FTI classification note all stand unchanged. What changes is the honesty of its claims and the existence of one real technical control.</w:t>
      </w:r>
    </w:p>
    <w:p>
      <w:pPr>
        <w:pStyle w:val="Heading1"/>
        <w:spacing w:after="140" w:before="280"/>
      </w:pPr>
      <w:r>
        <w:rPr>
          <w:rFonts w:ascii="Calibri" w:cs="Calibri" w:eastAsia="Calibri" w:hAnsi="Calibri"/>
          <w:b/>
          <w:bCs/>
          <w:color w:val="1F3864"/>
          <w:sz w:val="26"/>
          <w:szCs w:val="26"/>
        </w:rPr>
        <w:t xml:space="preserve">7.  Control Reclassification</w:t>
      </w:r>
    </w:p>
    <w:p>
      <w:pPr>
        <w:spacing w:after="120" w:line="276"/>
      </w:pPr>
      <w:r>
        <w:rPr>
          <w:rFonts w:ascii="Calibri" w:cs="Calibri" w:eastAsia="Calibri" w:hAnsi="Calibri"/>
          <w:sz w:val="21"/>
          <w:szCs w:val="21"/>
        </w:rPr>
        <w:t xml:space="preserve">ADR-040 Section 7 records AC-3 (Access Enforcement) as IMPROVED, with the mechanism 'Explicit filesystem boundary enforces access control by policy. Prohibited paths documented.'</w:t>
      </w:r>
    </w:p>
    <w:p>
      <w:pPr>
        <w:spacing w:after="120" w:line="276"/>
      </w:pPr>
      <w:r>
        <w:rPr>
          <w:rFonts w:ascii="Calibri" w:cs="Calibri" w:eastAsia="Calibri" w:hAnsi="Calibri"/>
          <w:b/>
          <w:bCs/>
          <w:sz w:val="21"/>
          <w:szCs w:val="21"/>
        </w:rPr>
        <w:t xml:space="preserve">That claim does not survive three breaches. AC-3 concerns the system enforcing approved authorisations. A document that must be read and remembered does not enforce anything; it directs behaviour. The honest mapping for ADR-040 as written is PL-4 (Rules of Behavior), supported by AU-6 (Audit Review) — the breaches were caught by disclosure and recorded in the changelog, which is a detective control functioning correctly, not a preventive one.</w:t>
      </w:r>
    </w:p>
    <w:p>
      <w:pPr>
        <w:spacing w:after="120" w:line="276"/>
      </w:pPr>
      <w:r>
        <w:rPr>
          <w:rFonts w:ascii="Calibri" w:cs="Calibri" w:eastAsia="Calibri" w:hAnsi="Calibri"/>
          <w:sz w:val="21"/>
          <w:szCs w:val="21"/>
        </w:rPr>
        <w:t xml:space="preserve">Revised mapping, superseding the corresponding rows of ADR-040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700"/>
        <w:gridCol w:w="4160"/>
      </w:tblGrid>
      <w:tr>
        <w:tc>
          <w:tcPr>
            <w:tcW w:type="dxa" w:w="1300"/>
            <w:shd w:fill="F2F2F2" w:val="clear"/>
            <w:tcMar>
              <w:top w:type="dxa" w:w="70"/>
              <w:left w:type="dxa" w:w="110"/>
              <w:bottom w:type="dxa" w:w="70"/>
              <w:right w:type="dxa" w:w="110"/>
            </w:tcMar>
          </w:tcPr>
          <w:p>
            <w:r>
              <w:rPr>
                <w:rFonts w:ascii="Calibri" w:cs="Calibri" w:eastAsia="Calibri" w:hAnsi="Calibri"/>
                <w:b/>
                <w:bCs/>
                <w:sz w:val="18"/>
                <w:szCs w:val="18"/>
              </w:rPr>
              <w:t xml:space="preserve">Control</w:t>
            </w:r>
          </w:p>
        </w:tc>
        <w:tc>
          <w:tcPr>
            <w:tcW w:type="dxa" w:w="2200"/>
            <w:shd w:fill="F2F2F2" w:val="clear"/>
            <w:tcMar>
              <w:top w:type="dxa" w:w="70"/>
              <w:left w:type="dxa" w:w="110"/>
              <w:bottom w:type="dxa" w:w="70"/>
              <w:right w:type="dxa" w:w="110"/>
            </w:tcMar>
          </w:tcPr>
          <w:p>
            <w:r>
              <w:rPr>
                <w:rFonts w:ascii="Calibri" w:cs="Calibri" w:eastAsia="Calibri" w:hAnsi="Calibri"/>
                <w:b/>
                <w:bCs/>
                <w:sz w:val="18"/>
                <w:szCs w:val="18"/>
              </w:rPr>
              <w:t xml:space="preserve">Title</w:t>
            </w:r>
          </w:p>
        </w:tc>
        <w:tc>
          <w:tcPr>
            <w:tcW w:type="dxa" w:w="1700"/>
            <w:shd w:fill="F2F2F2" w:val="clear"/>
            <w:tcMar>
              <w:top w:type="dxa" w:w="70"/>
              <w:left w:type="dxa" w:w="110"/>
              <w:bottom w:type="dxa" w:w="70"/>
              <w:right w:type="dxa" w:w="110"/>
            </w:tcMar>
          </w:tcPr>
          <w:p>
            <w:r>
              <w:rPr>
                <w:rFonts w:ascii="Calibri" w:cs="Calibri" w:eastAsia="Calibri" w:hAnsi="Calibri"/>
                <w:b/>
                <w:bCs/>
                <w:sz w:val="18"/>
                <w:szCs w:val="18"/>
              </w:rPr>
              <w:t xml:space="preserve">Status</w:t>
            </w:r>
          </w:p>
        </w:tc>
        <w:tc>
          <w:tcPr>
            <w:tcW w:type="dxa" w:w="4160"/>
            <w:shd w:fill="F2F2F2" w:val="clear"/>
            <w:tcMar>
              <w:top w:type="dxa" w:w="70"/>
              <w:left w:type="dxa" w:w="110"/>
              <w:bottom w:type="dxa" w:w="70"/>
              <w:right w:type="dxa" w:w="110"/>
            </w:tcMar>
          </w:tcPr>
          <w:p>
            <w:r>
              <w:rPr>
                <w:rFonts w:ascii="Calibri" w:cs="Calibri" w:eastAsia="Calibri" w:hAnsi="Calibri"/>
                <w:b/>
                <w:bCs/>
                <w:sz w:val="18"/>
                <w:szCs w:val="18"/>
              </w:rPr>
              <w:t xml:space="preserve">Basis</w:t>
            </w:r>
          </w:p>
        </w:tc>
      </w:tr>
      <w:tr>
        <w:tc>
          <w:tcPr>
            <w:tcW w:type="dxa" w:w="1300"/>
            <w:tcMar>
              <w:top w:type="dxa" w:w="70"/>
              <w:left w:type="dxa" w:w="110"/>
              <w:bottom w:type="dxa" w:w="70"/>
              <w:right w:type="dxa" w:w="110"/>
            </w:tcMar>
          </w:tcPr>
          <w:p>
            <w:r>
              <w:rPr>
                <w:rFonts w:ascii="Calibri" w:cs="Calibri" w:eastAsia="Calibri" w:hAnsi="Calibri"/>
                <w:sz w:val="18"/>
                <w:szCs w:val="18"/>
              </w:rPr>
              <w:t xml:space="preserve">PL-4</w:t>
            </w:r>
          </w:p>
        </w:tc>
        <w:tc>
          <w:tcPr>
            <w:tcW w:type="dxa" w:w="2200"/>
            <w:tcMar>
              <w:top w:type="dxa" w:w="70"/>
              <w:left w:type="dxa" w:w="110"/>
              <w:bottom w:type="dxa" w:w="70"/>
              <w:right w:type="dxa" w:w="110"/>
            </w:tcMar>
          </w:tcPr>
          <w:p>
            <w:r>
              <w:rPr>
                <w:rFonts w:ascii="Calibri" w:cs="Calibri" w:eastAsia="Calibri" w:hAnsi="Calibri"/>
                <w:sz w:val="18"/>
                <w:szCs w:val="18"/>
              </w:rPr>
              <w:t xml:space="preserve">Rules of Behavior</w:t>
            </w:r>
          </w:p>
        </w:tc>
        <w:tc>
          <w:tcPr>
            <w:tcW w:type="dxa" w:w="1700"/>
            <w:tcMar>
              <w:top w:type="dxa" w:w="70"/>
              <w:left w:type="dxa" w:w="110"/>
              <w:bottom w:type="dxa" w:w="70"/>
              <w:right w:type="dxa" w:w="110"/>
            </w:tcMar>
          </w:tcPr>
          <w:p>
            <w:r>
              <w:rPr>
                <w:rFonts w:ascii="Calibri" w:cs="Calibri" w:eastAsia="Calibri" w:hAnsi="Calibri"/>
                <w:sz w:val="18"/>
                <w:szCs w:val="18"/>
              </w:rPr>
              <w:t xml:space="preserve">ACCURATE</w:t>
            </w:r>
          </w:p>
        </w:tc>
        <w:tc>
          <w:tcPr>
            <w:tcW w:type="dxa" w:w="4160"/>
            <w:tcMar>
              <w:top w:type="dxa" w:w="70"/>
              <w:left w:type="dxa" w:w="110"/>
              <w:bottom w:type="dxa" w:w="70"/>
              <w:right w:type="dxa" w:w="110"/>
            </w:tcMar>
          </w:tcPr>
          <w:p>
            <w:r>
              <w:rPr>
                <w:rFonts w:ascii="Calibri" w:cs="Calibri" w:eastAsia="Calibri" w:hAnsi="Calibri"/>
                <w:sz w:val="18"/>
                <w:szCs w:val="18"/>
              </w:rPr>
              <w:t xml:space="preserve">What DATA_BOUNDARIES.md actually is: documented expected conduct for agents and operator.</w:t>
            </w:r>
          </w:p>
        </w:tc>
      </w:tr>
      <w:tr>
        <w:tc>
          <w:tcPr>
            <w:tcW w:type="dxa" w:w="1300"/>
            <w:tcMar>
              <w:top w:type="dxa" w:w="70"/>
              <w:left w:type="dxa" w:w="110"/>
              <w:bottom w:type="dxa" w:w="70"/>
              <w:right w:type="dxa" w:w="110"/>
            </w:tcMar>
          </w:tcPr>
          <w:p>
            <w:r>
              <w:rPr>
                <w:rFonts w:ascii="Calibri" w:cs="Calibri" w:eastAsia="Calibri" w:hAnsi="Calibri"/>
                <w:sz w:val="18"/>
                <w:szCs w:val="18"/>
              </w:rPr>
              <w:t xml:space="preserve">AU-6</w:t>
            </w:r>
          </w:p>
        </w:tc>
        <w:tc>
          <w:tcPr>
            <w:tcW w:type="dxa" w:w="2200"/>
            <w:tcMar>
              <w:top w:type="dxa" w:w="70"/>
              <w:left w:type="dxa" w:w="110"/>
              <w:bottom w:type="dxa" w:w="70"/>
              <w:right w:type="dxa" w:w="110"/>
            </w:tcMar>
          </w:tcPr>
          <w:p>
            <w:r>
              <w:rPr>
                <w:rFonts w:ascii="Calibri" w:cs="Calibri" w:eastAsia="Calibri" w:hAnsi="Calibri"/>
                <w:sz w:val="18"/>
                <w:szCs w:val="18"/>
              </w:rPr>
              <w:t xml:space="preserve">Audit Review</w:t>
            </w:r>
          </w:p>
        </w:tc>
        <w:tc>
          <w:tcPr>
            <w:tcW w:type="dxa" w:w="1700"/>
            <w:tcMar>
              <w:top w:type="dxa" w:w="70"/>
              <w:left w:type="dxa" w:w="110"/>
              <w:bottom w:type="dxa" w:w="70"/>
              <w:right w:type="dxa" w:w="110"/>
            </w:tcMar>
          </w:tcPr>
          <w:p>
            <w:r>
              <w:rPr>
                <w:rFonts w:ascii="Calibri" w:cs="Calibri" w:eastAsia="Calibri" w:hAnsi="Calibri"/>
                <w:sz w:val="18"/>
                <w:szCs w:val="18"/>
              </w:rPr>
              <w:t xml:space="preserve">ACCURATE, effective</w:t>
            </w:r>
          </w:p>
        </w:tc>
        <w:tc>
          <w:tcPr>
            <w:tcW w:type="dxa" w:w="4160"/>
            <w:tcMar>
              <w:top w:type="dxa" w:w="70"/>
              <w:left w:type="dxa" w:w="110"/>
              <w:bottom w:type="dxa" w:w="70"/>
              <w:right w:type="dxa" w:w="110"/>
            </w:tcMar>
          </w:tcPr>
          <w:p>
            <w:r>
              <w:rPr>
                <w:rFonts w:ascii="Calibri" w:cs="Calibri" w:eastAsia="Calibri" w:hAnsi="Calibri"/>
                <w:sz w:val="18"/>
                <w:szCs w:val="18"/>
              </w:rPr>
              <w:t xml:space="preserve">All three breaches were disclosed and recorded. The detective control works; it is currently the primary one.</w:t>
            </w:r>
          </w:p>
        </w:tc>
      </w:tr>
      <w:tr>
        <w:tc>
          <w:tcPr>
            <w:tcW w:type="dxa" w:w="1300"/>
            <w:tcMar>
              <w:top w:type="dxa" w:w="70"/>
              <w:left w:type="dxa" w:w="110"/>
              <w:bottom w:type="dxa" w:w="70"/>
              <w:right w:type="dxa" w:w="110"/>
            </w:tcMar>
          </w:tcPr>
          <w:p>
            <w:r>
              <w:rPr>
                <w:rFonts w:ascii="Calibri" w:cs="Calibri" w:eastAsia="Calibri" w:hAnsi="Calibri"/>
                <w:sz w:val="18"/>
                <w:szCs w:val="18"/>
              </w:rPr>
              <w:t xml:space="preserve">AC-3</w:t>
            </w:r>
          </w:p>
        </w:tc>
        <w:tc>
          <w:tcPr>
            <w:tcW w:type="dxa" w:w="2200"/>
            <w:tcMar>
              <w:top w:type="dxa" w:w="70"/>
              <w:left w:type="dxa" w:w="110"/>
              <w:bottom w:type="dxa" w:w="70"/>
              <w:right w:type="dxa" w:w="110"/>
            </w:tcMar>
          </w:tcPr>
          <w:p>
            <w:r>
              <w:rPr>
                <w:rFonts w:ascii="Calibri" w:cs="Calibri" w:eastAsia="Calibri" w:hAnsi="Calibri"/>
                <w:sz w:val="18"/>
                <w:szCs w:val="18"/>
              </w:rPr>
              <w:t xml:space="preserve">Access Enforcement</w:t>
            </w:r>
          </w:p>
        </w:tc>
        <w:tc>
          <w:tcPr>
            <w:tcW w:type="dxa" w:w="1700"/>
            <w:tcMar>
              <w:top w:type="dxa" w:w="70"/>
              <w:left w:type="dxa" w:w="110"/>
              <w:bottom w:type="dxa" w:w="70"/>
              <w:right w:type="dxa" w:w="110"/>
            </w:tcMar>
          </w:tcPr>
          <w:p>
            <w:r>
              <w:rPr>
                <w:rFonts w:ascii="Calibri" w:cs="Calibri" w:eastAsia="Calibri" w:hAnsi="Calibri"/>
                <w:sz w:val="18"/>
                <w:szCs w:val="18"/>
              </w:rPr>
              <w:t xml:space="preserve">NOT MET until Section 8 ships</w:t>
            </w:r>
          </w:p>
        </w:tc>
        <w:tc>
          <w:tcPr>
            <w:tcW w:type="dxa" w:w="4160"/>
            <w:tcMar>
              <w:top w:type="dxa" w:w="70"/>
              <w:left w:type="dxa" w:w="110"/>
              <w:bottom w:type="dxa" w:w="70"/>
              <w:right w:type="dxa" w:w="110"/>
            </w:tcMar>
          </w:tcPr>
          <w:p>
            <w:r>
              <w:rPr>
                <w:rFonts w:ascii="Calibri" w:cs="Calibri" w:eastAsia="Calibri" w:hAnsi="Calibri"/>
                <w:sz w:val="18"/>
                <w:szCs w:val="18"/>
              </w:rPr>
              <w:t xml:space="preserve">No mechanism enforces the boundary at execution time. Downgraded from ADR-040's IMPROVED.</w:t>
            </w:r>
          </w:p>
        </w:tc>
      </w:tr>
      <w:tr>
        <w:tc>
          <w:tcPr>
            <w:tcW w:type="dxa" w:w="1300"/>
            <w:tcMar>
              <w:top w:type="dxa" w:w="70"/>
              <w:left w:type="dxa" w:w="110"/>
              <w:bottom w:type="dxa" w:w="70"/>
              <w:right w:type="dxa" w:w="110"/>
            </w:tcMar>
          </w:tcPr>
          <w:p>
            <w:r>
              <w:rPr>
                <w:rFonts w:ascii="Calibri" w:cs="Calibri" w:eastAsia="Calibri" w:hAnsi="Calibri"/>
                <w:sz w:val="18"/>
                <w:szCs w:val="18"/>
              </w:rPr>
              <w:t xml:space="preserve">AC-6</w:t>
            </w:r>
          </w:p>
        </w:tc>
        <w:tc>
          <w:tcPr>
            <w:tcW w:type="dxa" w:w="2200"/>
            <w:tcMar>
              <w:top w:type="dxa" w:w="70"/>
              <w:left w:type="dxa" w:w="110"/>
              <w:bottom w:type="dxa" w:w="70"/>
              <w:right w:type="dxa" w:w="110"/>
            </w:tcMar>
          </w:tcPr>
          <w:p>
            <w:r>
              <w:rPr>
                <w:rFonts w:ascii="Calibri" w:cs="Calibri" w:eastAsia="Calibri" w:hAnsi="Calibri"/>
                <w:sz w:val="18"/>
                <w:szCs w:val="18"/>
              </w:rPr>
              <w:t xml:space="preserve">Least Privilege</w:t>
            </w:r>
          </w:p>
        </w:tc>
        <w:tc>
          <w:tcPr>
            <w:tcW w:type="dxa" w:w="1700"/>
            <w:tcMar>
              <w:top w:type="dxa" w:w="70"/>
              <w:left w:type="dxa" w:w="110"/>
              <w:bottom w:type="dxa" w:w="70"/>
              <w:right w:type="dxa" w:w="110"/>
            </w:tcMar>
          </w:tcPr>
          <w:p>
            <w:r>
              <w:rPr>
                <w:rFonts w:ascii="Calibri" w:cs="Calibri" w:eastAsia="Calibri" w:hAnsi="Calibri"/>
                <w:sz w:val="18"/>
                <w:szCs w:val="18"/>
              </w:rPr>
              <w:t xml:space="preserve">PARTIAL</w:t>
            </w:r>
          </w:p>
        </w:tc>
        <w:tc>
          <w:tcPr>
            <w:tcW w:type="dxa" w:w="4160"/>
            <w:tcMar>
              <w:top w:type="dxa" w:w="70"/>
              <w:left w:type="dxa" w:w="110"/>
              <w:bottom w:type="dxa" w:w="70"/>
              <w:right w:type="dxa" w:w="110"/>
            </w:tcMar>
          </w:tcPr>
          <w:p>
            <w:r>
              <w:rPr>
                <w:rFonts w:ascii="Calibri" w:cs="Calibri" w:eastAsia="Calibri" w:hAnsi="Calibri"/>
                <w:sz w:val="18"/>
                <w:szCs w:val="18"/>
              </w:rPr>
              <w:t xml:space="preserve">Weakened by the home-wide Read grant (Gap B) and by shell being unbounded (Section 4).</w:t>
            </w:r>
          </w:p>
        </w:tc>
      </w:tr>
      <w:tr>
        <w:tc>
          <w:tcPr>
            <w:tcW w:type="dxa" w:w="1300"/>
            <w:tcMar>
              <w:top w:type="dxa" w:w="70"/>
              <w:left w:type="dxa" w:w="110"/>
              <w:bottom w:type="dxa" w:w="70"/>
              <w:right w:type="dxa" w:w="110"/>
            </w:tcMar>
          </w:tcPr>
          <w:p>
            <w:r>
              <w:rPr>
                <w:rFonts w:ascii="Calibri" w:cs="Calibri" w:eastAsia="Calibri" w:hAnsi="Calibri"/>
                <w:sz w:val="18"/>
                <w:szCs w:val="18"/>
              </w:rPr>
              <w:t xml:space="preserve">CM-7</w:t>
            </w:r>
          </w:p>
        </w:tc>
        <w:tc>
          <w:tcPr>
            <w:tcW w:type="dxa" w:w="2200"/>
            <w:tcMar>
              <w:top w:type="dxa" w:w="70"/>
              <w:left w:type="dxa" w:w="110"/>
              <w:bottom w:type="dxa" w:w="70"/>
              <w:right w:type="dxa" w:w="110"/>
            </w:tcMar>
          </w:tcPr>
          <w:p>
            <w:r>
              <w:rPr>
                <w:rFonts w:ascii="Calibri" w:cs="Calibri" w:eastAsia="Calibri" w:hAnsi="Calibri"/>
                <w:sz w:val="18"/>
                <w:szCs w:val="18"/>
              </w:rPr>
              <w:t xml:space="preserve">Least Functionality</w:t>
            </w:r>
          </w:p>
        </w:tc>
        <w:tc>
          <w:tcPr>
            <w:tcW w:type="dxa" w:w="1700"/>
            <w:tcMar>
              <w:top w:type="dxa" w:w="70"/>
              <w:left w:type="dxa" w:w="110"/>
              <w:bottom w:type="dxa" w:w="70"/>
              <w:right w:type="dxa" w:w="110"/>
            </w:tcMar>
          </w:tcPr>
          <w:p>
            <w:r>
              <w:rPr>
                <w:rFonts w:ascii="Calibri" w:cs="Calibri" w:eastAsia="Calibri" w:hAnsi="Calibri"/>
                <w:sz w:val="18"/>
                <w:szCs w:val="18"/>
              </w:rPr>
              <w:t xml:space="preserve">PROPOSED</w:t>
            </w:r>
          </w:p>
        </w:tc>
        <w:tc>
          <w:tcPr>
            <w:tcW w:type="dxa" w:w="4160"/>
            <w:tcMar>
              <w:top w:type="dxa" w:w="70"/>
              <w:left w:type="dxa" w:w="110"/>
              <w:bottom w:type="dxa" w:w="70"/>
              <w:right w:type="dxa" w:w="110"/>
            </w:tcMar>
          </w:tcPr>
          <w:p>
            <w:r>
              <w:rPr>
                <w:rFonts w:ascii="Calibri" w:cs="Calibri" w:eastAsia="Calibri" w:hAnsi="Calibri"/>
                <w:sz w:val="18"/>
                <w:szCs w:val="18"/>
              </w:rPr>
              <w:t xml:space="preserve">New: traversal verbs restricted to the minimum scope needed.</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This reclassification is the substantive output of this ADR. An overstated control mapping in a compliance record is worse than a missing one, because it removes the prompt to fix the gap.</w:t>
      </w:r>
    </w:p>
    <w:p>
      <w:pPr>
        <w:pStyle w:val="Heading1"/>
        <w:spacing w:after="140" w:before="280"/>
      </w:pPr>
      <w:r>
        <w:rPr>
          <w:rFonts w:ascii="Calibri" w:cs="Calibri" w:eastAsia="Calibri" w:hAnsi="Calibri"/>
          <w:b/>
          <w:bCs/>
          <w:color w:val="1F3864"/>
          <w:sz w:val="26"/>
          <w:szCs w:val="26"/>
        </w:rPr>
        <w:t xml:space="preserve">8.  Implementation Requirements</w:t>
      </w:r>
    </w:p>
    <w:p>
      <w:pPr>
        <w:spacing w:after="120" w:line="276"/>
      </w:pPr>
      <w:r>
        <w:rPr>
          <w:rFonts w:ascii="Calibri" w:cs="Calibri" w:eastAsia="Calibri" w:hAnsi="Calibri"/>
          <w:b/>
          <w:bCs/>
          <w:sz w:val="21"/>
          <w:szCs w:val="21"/>
        </w:rPr>
        <w:t xml:space="preserve">8.1 — Scope language (Option 1).</w:t>
      </w:r>
    </w:p>
    <w:p>
      <w:pPr>
        <w:spacing w:after="120" w:line="276"/>
      </w:pPr>
      <w:r>
        <w:rPr>
          <w:rFonts w:ascii="Calibri" w:cs="Calibri" w:eastAsia="Calibri" w:hAnsi="Calibri"/>
          <w:sz w:val="21"/>
          <w:szCs w:val="21"/>
        </w:rPr>
        <w:t xml:space="preserve">DATA_BOUNDARIES.md Section 2 is amended to state that the prohibition binds all execution surfaces: OpenClaw application code, scheduled jobs and daemons, and interactive shell commands issued by any agent or by the operator within an agent session. A note records that traversal and listing are prohibited, not only reading file contents, and that a glob or a directory-size command is a directory read.</w:t>
      </w:r>
    </w:p>
    <w:p>
      <w:pPr>
        <w:spacing w:after="120" w:line="276"/>
      </w:pPr>
      <w:r>
        <w:rPr>
          <w:rFonts w:ascii="Calibri" w:cs="Calibri" w:eastAsia="Calibri" w:hAnsi="Calibri"/>
          <w:b/>
          <w:bCs/>
          <w:sz w:val="21"/>
          <w:szCs w:val="21"/>
        </w:rPr>
        <w:t xml:space="preserve">8.2 — Allowlist governance (Option 2).</w:t>
      </w:r>
    </w:p>
    <w:p>
      <w:pPr>
        <w:spacing w:after="120" w:line="276"/>
      </w:pPr>
      <w:r>
        <w:rPr>
          <w:rFonts w:ascii="Calibri" w:cs="Calibri" w:eastAsia="Calibri" w:hAnsi="Calibri"/>
          <w:sz w:val="21"/>
          <w:szCs w:val="21"/>
        </w:rPr>
        <w:t xml:space="preserve">`.claude/settings.local.json` is declared a governed artifact under ADR-040. `Read(//Users/sheldonwheeler/**)` is to be removed in favour of the existing narrow `Read(//Users/sheldonwheeler/openclaw/**)`. Because the file is gitignored and cannot be reviewed by diff, its contents are to be checked at each ADR-040 review.</w:t>
      </w:r>
    </w:p>
    <w:p>
      <w:pPr>
        <w:spacing w:after="120" w:line="276"/>
      </w:pPr>
      <w:r>
        <w:rPr>
          <w:rFonts w:ascii="Calibri" w:cs="Calibri" w:eastAsia="Calibri" w:hAnsi="Calibri"/>
          <w:b/>
          <w:bCs/>
          <w:sz w:val="21"/>
          <w:szCs w:val="21"/>
        </w:rPr>
        <w:t xml:space="preserve">8.3 — Traversal-verb hook (Option 3).</w:t>
      </w:r>
    </w:p>
    <w:p>
      <w:pPr>
        <w:spacing w:after="120" w:line="276"/>
      </w:pPr>
      <w:r>
        <w:rPr>
          <w:rFonts w:ascii="Calibri" w:cs="Calibri" w:eastAsia="Calibri" w:hAnsi="Calibri"/>
          <w:sz w:val="21"/>
          <w:szCs w:val="21"/>
        </w:rPr>
        <w:t xml:space="preserve">A PreToolUse hook is to intercept Bash invocations and block or prompt on recursive or volume-wide traversal commands that are not explicitly scoped within ~/openclaw. The initial verb list: du, find, ls -R, grep -r / -R, tree, mdfind, locate. The list is deliberately conservative and additive — it is expected to grow as gaps are found.</w:t>
      </w:r>
    </w:p>
    <w:p>
      <w:pPr>
        <w:spacing w:after="120" w:line="276"/>
      </w:pPr>
      <w:r>
        <w:rPr>
          <w:rFonts w:ascii="Calibri" w:cs="Calibri" w:eastAsia="Calibri" w:hAnsi="Calibri"/>
          <w:sz w:val="21"/>
          <w:szCs w:val="21"/>
        </w:rPr>
        <w:t xml:space="preserve">The hook matches on the command, not on path literals, for the reason in Section 4. Its design target is the September 20 breach: `cd ~ &amp;&amp; du -sh */` must be stopped, despite containing no prohibited path. Exact hook mechanics are to be verified against the current Claude Code settings schema before implementation rather than assumed.</w:t>
      </w:r>
    </w:p>
    <w:p>
      <w:pPr>
        <w:spacing w:after="120" w:line="276"/>
      </w:pPr>
      <w:r>
        <w:rPr>
          <w:rFonts w:ascii="Calibri" w:cs="Calibri" w:eastAsia="Calibri" w:hAnsi="Calibri"/>
          <w:b/>
          <w:bCs/>
          <w:sz w:val="21"/>
          <w:szCs w:val="21"/>
        </w:rPr>
        <w:t xml:space="preserve">8.4 — Scope of the hook's guarantee.</w:t>
      </w:r>
    </w:p>
    <w:p>
      <w:pPr>
        <w:spacing w:after="120" w:line="276"/>
      </w:pPr>
      <w:r>
        <w:rPr>
          <w:rFonts w:ascii="Calibri" w:cs="Calibri" w:eastAsia="Calibri" w:hAnsi="Calibri"/>
          <w:sz w:val="21"/>
          <w:szCs w:val="21"/>
        </w:rPr>
        <w:t xml:space="preserve">The hook is a speed bump on the common case, not a boundary. Shell remains unbounded per Section 4, and any sufficiently novel command will pass. It is to be documented as such wherever it is described, so that no future reader mistakes it for enforcement.</w:t>
      </w:r>
    </w:p>
    <w:p>
      <w:pPr>
        <w:pStyle w:val="Heading1"/>
        <w:spacing w:after="140" w:before="280"/>
      </w:pPr>
      <w:r>
        <w:rPr>
          <w:rFonts w:ascii="Calibri" w:cs="Calibri" w:eastAsia="Calibri" w:hAnsi="Calibri"/>
          <w:b/>
          <w:bCs/>
          <w:color w:val="1F3864"/>
          <w:sz w:val="26"/>
          <w:szCs w:val="26"/>
        </w:rPr>
        <w:t xml:space="preserve">9.  Residual Risk — accepted</w:t>
      </w:r>
    </w:p>
    <w:p>
      <w:pPr>
        <w:spacing w:after="120" w:line="276"/>
      </w:pPr>
      <w:r>
        <w:rPr>
          <w:rFonts w:ascii="Calibri" w:cs="Calibri" w:eastAsia="Calibri" w:hAnsi="Calibri"/>
          <w:sz w:val="21"/>
          <w:szCs w:val="21"/>
        </w:rPr>
        <w:t xml:space="preserve">Even with every item in Section 8 implemented, the filesystem boundary is not enforced. Shell access is unbounded by construction; the hook narrows the common failure mode and nothing more. The compensating control is disclosure: each of the three breaches entered the record because it was self-reported, not because anything detected it.</w:t>
      </w:r>
    </w:p>
    <w:p>
      <w:pPr>
        <w:spacing w:after="120" w:line="276"/>
      </w:pPr>
      <w:r>
        <w:rPr>
          <w:rFonts w:ascii="Calibri" w:cs="Calibri" w:eastAsia="Calibri" w:hAnsi="Calibri"/>
          <w:b/>
          <w:bCs/>
          <w:sz w:val="21"/>
          <w:szCs w:val="21"/>
        </w:rPr>
        <w:t xml:space="preserve">This is an acceptable posture for a single-operator personal stack, but it must be stated rather than implied. A policy that depends on voluntary disclosure should say so in its own text, so the dependency is visible before it fails rather than discovered afterwards.</w:t>
      </w:r>
    </w:p>
    <w:p>
      <w:pPr>
        <w:spacing w:after="120" w:line="276"/>
      </w:pPr>
      <w:r>
        <w:rPr>
          <w:rFonts w:ascii="Calibri" w:cs="Calibri" w:eastAsia="Calibri" w:hAnsi="Calibri"/>
          <w:sz w:val="21"/>
          <w:szCs w:val="21"/>
        </w:rPr>
        <w:t xml:space="preserve">Specific residual exposures carried at the date of this ADR: the home-wide Read grant remains in the allowlist pending 8.2; ~/Documents/Mac-Mini-Backups-Interim remains unexamined inside a prohibited path, carried unresolved from Entry #029.</w:t>
      </w:r>
    </w:p>
    <w:p>
      <w:pPr>
        <w:pStyle w:val="Heading1"/>
        <w:spacing w:after="140" w:before="280"/>
      </w:pPr>
      <w:r>
        <w:rPr>
          <w:rFonts w:ascii="Calibri" w:cs="Calibri" w:eastAsia="Calibri" w:hAnsi="Calibri"/>
          <w:b/>
          <w:bCs/>
          <w:color w:val="1F3864"/>
          <w:sz w:val="26"/>
          <w:szCs w:val="26"/>
        </w:rPr>
        <w:t xml:space="preserve">10.  Open Items</w:t>
      </w:r>
    </w:p>
    <w:p>
      <w:pPr>
        <w:pStyle w:val="ListParagraph"/>
        <w:numPr>
          <w:ilvl w:val="0"/>
          <w:numId w:val="1"/>
        </w:numPr>
        <w:spacing w:after="80" w:line="276"/>
      </w:pPr>
      <w:r>
        <w:rPr>
          <w:rFonts w:ascii="Calibri" w:cs="Calibri" w:eastAsia="Calibri" w:hAnsi="Calibri"/>
          <w:sz w:val="21"/>
          <w:szCs w:val="21"/>
        </w:rPr>
        <w:t xml:space="preserve">Implement 8.1 — DATA_BOUNDARIES.md scope language. Immediate, no dependencies.</w:t>
      </w:r>
    </w:p>
    <w:p>
      <w:pPr>
        <w:pStyle w:val="ListParagraph"/>
        <w:numPr>
          <w:ilvl w:val="0"/>
          <w:numId w:val="1"/>
        </w:numPr>
        <w:spacing w:after="80" w:line="276"/>
      </w:pPr>
      <w:r>
        <w:rPr>
          <w:rFonts w:ascii="Calibri" w:cs="Calibri" w:eastAsia="Calibri" w:hAnsi="Calibri"/>
          <w:sz w:val="21"/>
          <w:szCs w:val="21"/>
        </w:rPr>
        <w:t xml:space="preserve">Implement 8.2 — remove the home-wide Read grant; verify the narrow rule is sufficient in practice.</w:t>
      </w:r>
    </w:p>
    <w:p>
      <w:pPr>
        <w:pStyle w:val="ListParagraph"/>
        <w:numPr>
          <w:ilvl w:val="0"/>
          <w:numId w:val="1"/>
        </w:numPr>
        <w:spacing w:after="80" w:line="276"/>
      </w:pPr>
      <w:r>
        <w:rPr>
          <w:rFonts w:ascii="Calibri" w:cs="Calibri" w:eastAsia="Calibri" w:hAnsi="Calibri"/>
          <w:sz w:val="21"/>
          <w:szCs w:val="21"/>
        </w:rPr>
        <w:t xml:space="preserve">Implement 8.3 — the traversal-verb hook. Verify hook mechanics against the live settings schema first.</w:t>
      </w:r>
    </w:p>
    <w:p>
      <w:pPr>
        <w:pStyle w:val="ListParagraph"/>
        <w:numPr>
          <w:ilvl w:val="0"/>
          <w:numId w:val="1"/>
        </w:numPr>
        <w:spacing w:after="80" w:line="276"/>
      </w:pPr>
      <w:r>
        <w:rPr>
          <w:rFonts w:ascii="Calibri" w:cs="Calibri" w:eastAsia="Calibri" w:hAnsi="Calibri"/>
          <w:sz w:val="21"/>
          <w:szCs w:val="21"/>
        </w:rPr>
        <w:t xml:space="preserve">Resolve ~/Documents/Mac-Mini-Backups-Interim — migrate and remove, or amend ADR-040 Section 1 to sanction it. Carried from Entry #029.</w:t>
      </w:r>
    </w:p>
    <w:p>
      <w:pPr>
        <w:pStyle w:val="ListParagraph"/>
        <w:numPr>
          <w:ilvl w:val="0"/>
          <w:numId w:val="1"/>
        </w:numPr>
        <w:spacing w:after="80" w:line="276"/>
      </w:pPr>
      <w:r>
        <w:rPr>
          <w:rFonts w:ascii="Calibri" w:cs="Calibri" w:eastAsia="Calibri" w:hAnsi="Calibri"/>
          <w:sz w:val="21"/>
          <w:szCs w:val="21"/>
        </w:rPr>
        <w:t xml:space="preserve">Apply the revised NIST mapping in Section 7 to ADR-040 Section 7 at its next revision, so the two documents do not disagree.</w:t>
      </w:r>
    </w:p>
    <w:p>
      <w:pPr>
        <w:pStyle w:val="ListParagraph"/>
        <w:numPr>
          <w:ilvl w:val="0"/>
          <w:numId w:val="1"/>
        </w:numPr>
        <w:spacing w:after="80" w:line="276"/>
      </w:pPr>
      <w:r>
        <w:rPr>
          <w:rFonts w:ascii="Calibri" w:cs="Calibri" w:eastAsia="Calibri" w:hAnsi="Calibri"/>
          <w:sz w:val="21"/>
          <w:szCs w:val="21"/>
        </w:rPr>
        <w:t xml:space="preserve">Consider whether ADR-033's tool registry, which requires skills to declare permitted paths, should be the enforcement point for application code, with the hook covering only interactive commands.</w:t>
      </w:r>
    </w:p>
    <w:p>
      <w:pPr>
        <w:pBdr>
          <w:top w:val="single" w:color="CCCCCC" w:sz="6" w:space="8"/>
        </w:pBdr>
        <w:spacing w:before="360"/>
      </w:pPr>
      <w:r>
        <w:rPr>
          <w:rFonts w:ascii="Calibri" w:cs="Calibri" w:eastAsia="Calibri" w:hAnsi="Calibri"/>
          <w:i/>
          <w:iCs/>
          <w:color w:val="777777"/>
          <w:sz w:val="18"/>
          <w:szCs w:val="18"/>
        </w:rPr>
        <w:t xml:space="preserve">Sheldon Wheeler — OpenClaw Personal Stack — ADR-045 — Decided September 20, 2026 — §8.2/§8.3 implemented September 29, 2026 — Amends ADR-040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ADR-045</dc:title>
  <dc:creator>Sheldon Wheeler</dc:creator>
  <cp:lastModifiedBy>Un-named</cp:lastModifiedBy>
  <cp:revision>1</cp:revision>
  <dcterms:created xsi:type="dcterms:W3CDTF">2026-09-20T13:11:51.356Z</dcterms:created>
  <dcterms:modified xsi:type="dcterms:W3CDTF">2026-09-20T13:11:51.356Z</dcterms:modified>
</cp:coreProperties>
</file>

<file path=docProps/custom.xml><?xml version="1.0" encoding="utf-8"?>
<Properties xmlns="http://schemas.openxmlformats.org/officeDocument/2006/custom-properties" xmlns:vt="http://schemas.openxmlformats.org/officeDocument/2006/docPropsVTypes"/>
</file>