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40"/>
      </w:pPr>
      <w:r>
        <w:rPr>
          <w:rFonts w:ascii="Calibri" w:hAnsi="Calibri" w:cs="Calibri"/>
          <w:b/>
          <w:sz w:val="32"/>
        </w:rPr>
        <w:t xml:space="preserve">ADR-047</w:t>
      </w:r>
    </w:p>
    <w:p>
      <w:pPr>
        <w:spacing w:before="0" w:after="100"/>
      </w:pPr>
      <w:r>
        <w:rPr>
          <w:rFonts w:ascii="Calibri" w:hAnsi="Calibri" w:cs="Calibri"/>
          <w:b/>
          <w:sz w:val="21"/>
        </w:rPr>
        <w:t xml:space="preserve">Inference Architecture for the 16 GB Host</w:t>
      </w:r>
    </w:p>
    <w:p>
      <w:pPr>
        <w:spacing w:before="0" w:after="100"/>
      </w:pPr>
      <w:r>
        <w:rPr>
          <w:rFonts w:ascii="Calibri" w:hAnsi="Calibri" w:cs="Calibri"/>
          <w:color w:val="555555"/>
          <w:sz w:val="19"/>
        </w:rPr>
        <w:t xml:space="preserve">OpenClaw — Phase 1 | Decided September 29, 2026 | Status DECIDED</w:t>
      </w:r>
    </w:p>
    <w:p>
      <w:pPr>
        <w:spacing w:before="240" w:after="80"/>
      </w:pPr>
      <w:r>
        <w:rPr>
          <w:rFonts w:ascii="Calibri" w:hAnsi="Calibri" w:cs="Calibri"/>
          <w:b/>
          <w:sz w:val="26"/>
        </w:rPr>
        <w:t xml:space="preserve">1. Decision Record</w:t>
      </w:r>
    </w:p>
    <w:tbl>
      <w:tblPr>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2822"/>
        <w:gridCol w:w="7258"/>
      </w:tblGrid>
      <w:tr>
        <w:tc>
          <w:tcPr>
            <w:tcW w:w="2822" w:type="dxa"/>
            <w:shd w:val="clear" w:color="auto" w:fill="F2F2F2"/>
          </w:tcPr>
          <w:p>
            <w:pPr>
              <w:spacing w:before="0" w:after="0"/>
            </w:pPr>
            <w:r>
              <w:rPr>
                <w:rFonts w:ascii="Calibri" w:hAnsi="Calibri" w:cs="Calibri"/>
                <w:b/>
                <w:sz w:val="20"/>
              </w:rPr>
              <w:t xml:space="preserve">ADR Number</w:t>
            </w:r>
          </w:p>
        </w:tc>
        <w:tc>
          <w:tcPr>
            <w:tcW w:w="7258" w:type="dxa"/>
          </w:tcPr>
          <w:p>
            <w:pPr>
              <w:spacing w:before="0" w:after="0"/>
            </w:pPr>
            <w:r>
              <w:rPr>
                <w:rFonts w:ascii="Calibri" w:hAnsi="Calibri" w:cs="Calibri"/>
                <w:sz w:val="20"/>
              </w:rPr>
              <w:t xml:space="preserve">ADR-047</w:t>
            </w:r>
          </w:p>
        </w:tc>
      </w:tr>
      <w:tr>
        <w:tc>
          <w:tcPr>
            <w:tcW w:w="2822" w:type="dxa"/>
            <w:shd w:val="clear" w:color="auto" w:fill="F2F2F2"/>
          </w:tcPr>
          <w:p>
            <w:pPr>
              <w:spacing w:before="0" w:after="0"/>
            </w:pPr>
            <w:r>
              <w:rPr>
                <w:rFonts w:ascii="Calibri" w:hAnsi="Calibri" w:cs="Calibri"/>
                <w:b/>
                <w:sz w:val="20"/>
              </w:rPr>
              <w:t xml:space="preserve">Title</w:t>
            </w:r>
          </w:p>
        </w:tc>
        <w:tc>
          <w:tcPr>
            <w:tcW w:w="7258" w:type="dxa"/>
          </w:tcPr>
          <w:p>
            <w:pPr>
              <w:spacing w:before="0" w:after="0"/>
            </w:pPr>
            <w:r>
              <w:rPr>
                <w:rFonts w:ascii="Calibri" w:hAnsi="Calibri" w:cs="Calibri"/>
                <w:sz w:val="20"/>
              </w:rPr>
              <w:t xml:space="preserve">Inference Architecture for the 16 GB Host</w:t>
            </w:r>
          </w:p>
        </w:tc>
      </w:tr>
      <w:tr>
        <w:tc>
          <w:tcPr>
            <w:tcW w:w="2822" w:type="dxa"/>
            <w:shd w:val="clear" w:color="auto" w:fill="F2F2F2"/>
          </w:tcPr>
          <w:p>
            <w:pPr>
              <w:spacing w:before="0" w:after="0"/>
            </w:pPr>
            <w:r>
              <w:rPr>
                <w:rFonts w:ascii="Calibri" w:hAnsi="Calibri" w:cs="Calibri"/>
                <w:b/>
                <w:sz w:val="20"/>
              </w:rPr>
              <w:t xml:space="preserve">Status</w:t>
            </w:r>
          </w:p>
        </w:tc>
        <w:tc>
          <w:tcPr>
            <w:tcW w:w="7258" w:type="dxa"/>
          </w:tcPr>
          <w:p>
            <w:pPr>
              <w:spacing w:before="0" w:after="0"/>
            </w:pPr>
            <w:r>
              <w:rPr>
                <w:rFonts w:ascii="Calibri" w:hAnsi="Calibri" w:cs="Calibri"/>
                <w:sz w:val="20"/>
              </w:rPr>
              <w:t xml:space="preserve">DECIDED — September 29, 2026; §8 amended the same day (pressure level 2). Drafted and proposed the same day (Entry #048); operator decisions on the three open questions recorded in Section 12. Implementation proceeds step by step under Section 10, each step approved.</w:t>
            </w:r>
          </w:p>
        </w:tc>
      </w:tr>
      <w:tr>
        <w:tc>
          <w:tcPr>
            <w:tcW w:w="2822" w:type="dxa"/>
            <w:shd w:val="clear" w:color="auto" w:fill="F2F2F2"/>
          </w:tcPr>
          <w:p>
            <w:pPr>
              <w:spacing w:before="0" w:after="0"/>
            </w:pPr>
            <w:r>
              <w:rPr>
                <w:rFonts w:ascii="Calibri" w:hAnsi="Calibri" w:cs="Calibri"/>
                <w:b/>
                <w:sz w:val="20"/>
              </w:rPr>
              <w:t xml:space="preserve">Deciders</w:t>
            </w:r>
          </w:p>
        </w:tc>
        <w:tc>
          <w:tcPr>
            <w:tcW w:w="7258" w:type="dxa"/>
          </w:tcPr>
          <w:p>
            <w:pPr>
              <w:spacing w:before="0" w:after="0"/>
            </w:pPr>
            <w:r>
              <w:rPr>
                <w:rFonts w:ascii="Calibri" w:hAnsi="Calibri" w:cs="Calibri"/>
                <w:sz w:val="20"/>
              </w:rPr>
              <w:t xml:space="preserve">Sheldon Wheeler (owner, sole operator)</w:t>
            </w:r>
          </w:p>
        </w:tc>
      </w:tr>
      <w:tr>
        <w:tc>
          <w:tcPr>
            <w:tcW w:w="2822" w:type="dxa"/>
            <w:shd w:val="clear" w:color="auto" w:fill="F2F2F2"/>
          </w:tcPr>
          <w:p>
            <w:pPr>
              <w:spacing w:before="0" w:after="0"/>
            </w:pPr>
            <w:r>
              <w:rPr>
                <w:rFonts w:ascii="Calibri" w:hAnsi="Calibri" w:cs="Calibri"/>
                <w:b/>
                <w:sz w:val="20"/>
              </w:rPr>
              <w:t xml:space="preserve">Trigger</w:t>
            </w:r>
          </w:p>
        </w:tc>
        <w:tc>
          <w:tcPr>
            <w:tcW w:w="7258" w:type="dxa"/>
          </w:tcPr>
          <w:p>
            <w:pPr>
              <w:spacing w:before="0" w:after="0"/>
            </w:pPr>
            <w:r>
              <w:rPr>
                <w:rFonts w:ascii="Calibri" w:hAnsi="Calibri" w:cs="Calibri"/>
                <w:sz w:val="20"/>
              </w:rPr>
              <w:t xml:space="preserve">Entry #046 operator decision: the MacBook Air M1 16 GB is the LLM host for the foreseeable future (ADR-043).</w:t>
            </w:r>
          </w:p>
        </w:tc>
      </w:tr>
      <w:tr>
        <w:tc>
          <w:tcPr>
            <w:tcW w:w="2822" w:type="dxa"/>
            <w:shd w:val="clear" w:color="auto" w:fill="F2F2F2"/>
          </w:tcPr>
          <w:p>
            <w:pPr>
              <w:spacing w:before="0" w:after="0"/>
            </w:pPr>
            <w:r>
              <w:rPr>
                <w:rFonts w:ascii="Calibri" w:hAnsi="Calibri" w:cs="Calibri"/>
                <w:b/>
                <w:sz w:val="20"/>
              </w:rPr>
              <w:t xml:space="preserve">Absorbs</w:t>
            </w:r>
          </w:p>
        </w:tc>
        <w:tc>
          <w:tcPr>
            <w:tcW w:w="7258" w:type="dxa"/>
          </w:tcPr>
          <w:p>
            <w:pPr>
              <w:spacing w:before="0" w:after="0"/>
            </w:pPr>
            <w:r>
              <w:rPr>
                <w:rFonts w:ascii="Calibri" w:hAnsi="Calibri" w:cs="Calibri"/>
                <w:sz w:val="20"/>
              </w:rPr>
              <w:t xml:space="preserve">ADR-043 §10 local model refresh; ADR-046 F2 (scope decision), F3, F9, F10; findings F11, F12 (Entry #048).</w:t>
            </w:r>
          </w:p>
        </w:tc>
      </w:tr>
      <w:tr>
        <w:tc>
          <w:tcPr>
            <w:tcW w:w="2822" w:type="dxa"/>
            <w:shd w:val="clear" w:color="auto" w:fill="F2F2F2"/>
          </w:tcPr>
          <w:p>
            <w:pPr>
              <w:spacing w:before="0" w:after="0"/>
            </w:pPr>
            <w:r>
              <w:rPr>
                <w:rFonts w:ascii="Calibri" w:hAnsi="Calibri" w:cs="Calibri"/>
                <w:b/>
                <w:sz w:val="20"/>
              </w:rPr>
              <w:t xml:space="preserve">Amends</w:t>
            </w:r>
          </w:p>
        </w:tc>
        <w:tc>
          <w:tcPr>
            <w:tcW w:w="7258" w:type="dxa"/>
          </w:tcPr>
          <w:p>
            <w:pPr>
              <w:spacing w:before="0" w:after="0"/>
            </w:pPr>
            <w:r>
              <w:rPr>
                <w:rFonts w:ascii="Calibri" w:hAnsi="Calibri" w:cs="Calibri"/>
                <w:sz w:val="20"/>
              </w:rPr>
              <w:t xml:space="preserve">ADR-021 (tier definitions; confidence thresholds retired); ADR-033 Memory section (thresholds); ADR-040 §3.1 / DATA_BOUNDARIES §1 (Section 9); ADR-043 §7 (VPS migration; API wording). Each amendment is applied as its own step and marked in place.</w:t>
            </w:r>
          </w:p>
        </w:tc>
      </w:tr>
      <w:tr>
        <w:tc>
          <w:tcPr>
            <w:tcW w:w="2822" w:type="dxa"/>
            <w:shd w:val="clear" w:color="auto" w:fill="F2F2F2"/>
          </w:tcPr>
          <w:p>
            <w:pPr>
              <w:spacing w:before="0" w:after="0"/>
            </w:pPr>
            <w:r>
              <w:rPr>
                <w:rFonts w:ascii="Calibri" w:hAnsi="Calibri" w:cs="Calibri"/>
                <w:b/>
                <w:sz w:val="20"/>
              </w:rPr>
              <w:t xml:space="preserve">NIST Controls</w:t>
            </w:r>
          </w:p>
        </w:tc>
        <w:tc>
          <w:tcPr>
            <w:tcW w:w="7258" w:type="dxa"/>
          </w:tcPr>
          <w:p>
            <w:pPr>
              <w:spacing w:before="0" w:after="0"/>
            </w:pPr>
            <w:r>
              <w:rPr>
                <w:rFonts w:ascii="Calibri" w:hAnsi="Calibri" w:cs="Calibri"/>
                <w:sz w:val="20"/>
              </w:rPr>
              <w:t xml:space="preserve">PROPOSED — SA-2 (Allocation of Resources), CM-2, CM-6, SC-6 (Resource Availability), AU-11 (via F10), SI-4 (partial, via F3), AC-3 (Section 9). Verify against NIST SP 800-53 Rev. 5 before treating as authoritative.</w:t>
            </w:r>
          </w:p>
        </w:tc>
      </w:tr>
      <w:tr>
        <w:tc>
          <w:tcPr>
            <w:tcW w:w="2822" w:type="dxa"/>
            <w:shd w:val="clear" w:color="auto" w:fill="F2F2F2"/>
          </w:tcPr>
          <w:p>
            <w:pPr>
              <w:spacing w:before="0" w:after="0"/>
            </w:pPr>
            <w:r>
              <w:rPr>
                <w:rFonts w:ascii="Calibri" w:hAnsi="Calibri" w:cs="Calibri"/>
                <w:b/>
                <w:sz w:val="20"/>
              </w:rPr>
              <w:t xml:space="preserve">Phase Scope</w:t>
            </w:r>
          </w:p>
        </w:tc>
        <w:tc>
          <w:tcPr>
            <w:tcW w:w="7258" w:type="dxa"/>
          </w:tcPr>
          <w:p>
            <w:pPr>
              <w:spacing w:before="0" w:after="0"/>
            </w:pPr>
            <w:r>
              <w:rPr>
                <w:rFonts w:ascii="Calibri" w:hAnsi="Calibri" w:cs="Calibri"/>
                <w:sz w:val="20"/>
              </w:rPr>
              <w:t xml:space="preserve">Phase 1. Code, configuration and governance changes listed in Section 10.</w:t>
            </w:r>
          </w:p>
        </w:tc>
      </w:tr>
    </w:tbl>
    <w:p/>
    <w:p>
      <w:pPr>
        <w:spacing w:before="240" w:after="80"/>
      </w:pPr>
      <w:r>
        <w:rPr>
          <w:rFonts w:ascii="Calibri" w:hAnsi="Calibri" w:cs="Calibri"/>
          <w:b/>
          <w:sz w:val="26"/>
        </w:rPr>
        <w:t xml:space="preserve">2. Measured Baseline (September 29, 2026)</w:t>
      </w:r>
    </w:p>
    <w:p>
      <w:pPr>
        <w:spacing w:before="0" w:after="100"/>
      </w:pPr>
      <w:r>
        <w:rPr>
          <w:rFonts w:ascii="Calibri" w:hAnsi="Calibri" w:cs="Calibri"/>
          <w:sz w:val="21"/>
        </w:rPr>
        <w:t xml:space="preserve">All values measured on the live host, not taken from documentation.</w:t>
      </w:r>
    </w:p>
    <w:tbl>
      <w:tblPr>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3360"/>
        <w:gridCol w:w="3360"/>
        <w:gridCol w:w="3360"/>
      </w:tblGrid>
      <w:tr>
        <w:tc>
          <w:tcPr>
            <w:tcW w:w="3360" w:type="dxa"/>
            <w:shd w:val="clear" w:color="auto" w:fill="F2F2F2"/>
          </w:tcPr>
          <w:p>
            <w:pPr>
              <w:spacing w:before="0" w:after="0"/>
            </w:pPr>
            <w:r>
              <w:rPr>
                <w:rFonts w:ascii="Calibri" w:hAnsi="Calibri" w:cs="Calibri"/>
                <w:b/>
                <w:sz w:val="20"/>
              </w:rPr>
              <w:t xml:space="preserve">Attribute</w:t>
            </w:r>
          </w:p>
        </w:tc>
        <w:tc>
          <w:tcPr>
            <w:tcW w:w="3360" w:type="dxa"/>
            <w:shd w:val="clear" w:color="auto" w:fill="F2F2F2"/>
          </w:tcPr>
          <w:p>
            <w:pPr>
              <w:spacing w:before="0" w:after="0"/>
            </w:pPr>
            <w:r>
              <w:rPr>
                <w:rFonts w:ascii="Calibri" w:hAnsi="Calibri" w:cs="Calibri"/>
                <w:b/>
                <w:sz w:val="20"/>
              </w:rPr>
              <w:t xml:space="preserve">Measured</w:t>
            </w:r>
          </w:p>
        </w:tc>
        <w:tc>
          <w:tcPr>
            <w:tcW w:w="3360" w:type="dxa"/>
            <w:shd w:val="clear" w:color="auto" w:fill="F2F2F2"/>
          </w:tcPr>
          <w:p>
            <w:pPr>
              <w:spacing w:before="0" w:after="0"/>
            </w:pPr>
            <w:r>
              <w:rPr>
                <w:rFonts w:ascii="Calibri" w:hAnsi="Calibri" w:cs="Calibri"/>
                <w:b/>
                <w:sz w:val="20"/>
              </w:rPr>
              <w:t xml:space="preserve">Note</w:t>
            </w:r>
          </w:p>
        </w:tc>
      </w:tr>
      <w:tr>
        <w:tc>
          <w:tcPr>
            <w:tcW w:w="3360" w:type="dxa"/>
          </w:tcPr>
          <w:p>
            <w:pPr>
              <w:spacing w:before="0" w:after="0"/>
            </w:pPr>
            <w:r>
              <w:rPr>
                <w:rFonts w:ascii="Calibri" w:hAnsi="Calibri" w:cs="Calibri"/>
                <w:sz w:val="20"/>
              </w:rPr>
              <w:t xml:space="preserve">Physical memory</w:t>
            </w:r>
          </w:p>
        </w:tc>
        <w:tc>
          <w:tcPr>
            <w:tcW w:w="3360" w:type="dxa"/>
          </w:tcPr>
          <w:p>
            <w:pPr>
              <w:spacing w:before="0" w:after="0"/>
            </w:pPr>
            <w:r>
              <w:rPr>
                <w:rFonts w:ascii="Calibri" w:hAnsi="Calibri" w:cs="Calibri"/>
                <w:sz w:val="20"/>
              </w:rPr>
              <w:t xml:space="preserve">16 GiB (17,179,869,184 B)</w:t>
            </w:r>
          </w:p>
        </w:tc>
        <w:tc>
          <w:tcPr>
            <w:tcW w:w="3360" w:type="dxa"/>
          </w:tcPr>
          <w:p>
            <w:pPr>
              <w:spacing w:before="0" w:after="0"/>
            </w:pPr>
            <w:r>
              <w:rPr>
                <w:rFonts w:ascii="Calibri" w:hAnsi="Calibri" w:cs="Calibri"/>
                <w:sz w:val="20"/>
              </w:rPr>
              <w:t xml:space="preserve">hw.memsize</w:t>
            </w:r>
          </w:p>
        </w:tc>
      </w:tr>
      <w:tr>
        <w:tc>
          <w:tcPr>
            <w:tcW w:w="3360" w:type="dxa"/>
          </w:tcPr>
          <w:p>
            <w:pPr>
              <w:spacing w:before="0" w:after="0"/>
            </w:pPr>
            <w:r>
              <w:rPr>
                <w:rFonts w:ascii="Calibri" w:hAnsi="Calibri" w:cs="Calibri"/>
                <w:sz w:val="20"/>
              </w:rPr>
              <w:t xml:space="preserve">Wired (kernel, unpageable)</w:t>
            </w:r>
          </w:p>
        </w:tc>
        <w:tc>
          <w:tcPr>
            <w:tcW w:w="3360" w:type="dxa"/>
          </w:tcPr>
          <w:p>
            <w:pPr>
              <w:spacing w:before="0" w:after="0"/>
            </w:pPr>
            <w:r>
              <w:rPr>
                <w:rFonts w:ascii="Calibri" w:hAnsi="Calibri" w:cs="Calibri"/>
                <w:sz w:val="20"/>
              </w:rPr>
              <w:t xml:space="preserve">~2.0 GB</w:t>
            </w:r>
          </w:p>
        </w:tc>
        <w:tc>
          <w:tcPr>
            <w:tcW w:w="3360" w:type="dxa"/>
          </w:tcPr>
          <w:p>
            <w:pPr>
              <w:spacing w:before="0" w:after="0"/>
            </w:pPr>
            <w:r>
              <w:rPr>
                <w:rFonts w:ascii="Calibri" w:hAnsi="Calibri" w:cs="Calibri"/>
                <w:sz w:val="20"/>
              </w:rPr>
              <w:t xml:space="preserve">vm_stat</w:t>
            </w:r>
          </w:p>
        </w:tc>
      </w:tr>
      <w:tr>
        <w:tc>
          <w:tcPr>
            <w:tcW w:w="3360" w:type="dxa"/>
          </w:tcPr>
          <w:p>
            <w:pPr>
              <w:spacing w:before="0" w:after="0"/>
            </w:pPr>
            <w:r>
              <w:rPr>
                <w:rFonts w:ascii="Calibri" w:hAnsi="Calibri" w:cs="Calibri"/>
                <w:sz w:val="20"/>
              </w:rPr>
              <w:t xml:space="preserve">Free, no model loaded, operator apps open</w:t>
            </w:r>
          </w:p>
        </w:tc>
        <w:tc>
          <w:tcPr>
            <w:tcW w:w="3360" w:type="dxa"/>
          </w:tcPr>
          <w:p>
            <w:pPr>
              <w:spacing w:before="0" w:after="0"/>
            </w:pPr>
            <w:r>
              <w:rPr>
                <w:rFonts w:ascii="Calibri" w:hAnsi="Calibri" w:cs="Calibri"/>
                <w:sz w:val="20"/>
              </w:rPr>
              <w:t xml:space="preserve">59–71%</w:t>
            </w:r>
          </w:p>
        </w:tc>
        <w:tc>
          <w:tcPr>
            <w:tcW w:w="3360" w:type="dxa"/>
          </w:tcPr>
          <w:p>
            <w:pPr>
              <w:spacing w:before="0" w:after="0"/>
            </w:pPr>
            <w:r>
              <w:rPr>
                <w:rFonts w:ascii="Calibri" w:hAnsi="Calibri" w:cs="Calibri"/>
                <w:sz w:val="20"/>
              </w:rPr>
              <w:t xml:space="preserve">memory_pressure</w:t>
            </w:r>
          </w:p>
        </w:tc>
      </w:tr>
      <w:tr>
        <w:tc>
          <w:tcPr>
            <w:tcW w:w="3360" w:type="dxa"/>
          </w:tcPr>
          <w:p>
            <w:pPr>
              <w:spacing w:before="0" w:after="0"/>
            </w:pPr>
            <w:r>
              <w:rPr>
                <w:rFonts w:ascii="Calibri" w:hAnsi="Calibri" w:cs="Calibri"/>
                <w:sz w:val="20"/>
              </w:rPr>
              <w:t xml:space="preserve">Swap in use</w:t>
            </w:r>
          </w:p>
        </w:tc>
        <w:tc>
          <w:tcPr>
            <w:tcW w:w="3360" w:type="dxa"/>
          </w:tcPr>
          <w:p>
            <w:pPr>
              <w:spacing w:before="0" w:after="0"/>
            </w:pPr>
            <w:r>
              <w:rPr>
                <w:rFonts w:ascii="Calibri" w:hAnsi="Calibri" w:cs="Calibri"/>
                <w:sz w:val="20"/>
              </w:rPr>
              <w:t xml:space="preserve">1.5 GB at rest; 3.3 GB after one model load</w:t>
            </w:r>
          </w:p>
        </w:tc>
        <w:tc>
          <w:tcPr>
            <w:tcW w:w="3360" w:type="dxa"/>
          </w:tcPr>
          <w:p>
            <w:pPr>
              <w:spacing w:before="0" w:after="0"/>
            </w:pPr>
            <w:r>
              <w:rPr>
                <w:rFonts w:ascii="Calibri" w:hAnsi="Calibri" w:cs="Calibri"/>
                <w:sz w:val="20"/>
              </w:rPr>
              <w:t xml:space="preserve">Does not recover on unload</w:t>
            </w:r>
          </w:p>
        </w:tc>
      </w:tr>
      <w:tr>
        <w:tc>
          <w:tcPr>
            <w:tcW w:w="3360" w:type="dxa"/>
          </w:tcPr>
          <w:p>
            <w:pPr>
              <w:spacing w:before="0" w:after="0"/>
            </w:pPr>
            <w:r>
              <w:rPr>
                <w:rFonts w:ascii="Calibri" w:hAnsi="Calibri" w:cs="Calibri"/>
                <w:sz w:val="20"/>
              </w:rPr>
              <w:t xml:space="preserve">Docker VM resident</w:t>
            </w:r>
          </w:p>
        </w:tc>
        <w:tc>
          <w:tcPr>
            <w:tcW w:w="3360" w:type="dxa"/>
          </w:tcPr>
          <w:p>
            <w:pPr>
              <w:spacing w:before="0" w:after="0"/>
            </w:pPr>
            <w:r>
              <w:rPr>
                <w:rFonts w:ascii="Calibri" w:hAnsi="Calibri" w:cs="Calibri"/>
                <w:sz w:val="20"/>
              </w:rPr>
              <w:t xml:space="preserve">~1.2 GB (cap 11.67 GiB)</w:t>
            </w:r>
          </w:p>
        </w:tc>
        <w:tc>
          <w:tcPr>
            <w:tcW w:w="3360" w:type="dxa"/>
          </w:tcPr>
          <w:p>
            <w:pPr>
              <w:spacing w:before="0" w:after="0"/>
            </w:pPr>
            <w:r>
              <w:rPr>
                <w:rFonts w:ascii="Calibri" w:hAnsi="Calibri" w:cs="Calibri"/>
                <w:sz w:val="20"/>
              </w:rPr>
              <w:t xml:space="preserve">Four containers together ~210 MB</w:t>
            </w:r>
          </w:p>
        </w:tc>
      </w:tr>
      <w:tr>
        <w:tc>
          <w:tcPr>
            <w:tcW w:w="3360" w:type="dxa"/>
          </w:tcPr>
          <w:p>
            <w:pPr>
              <w:spacing w:before="0" w:after="0"/>
            </w:pPr>
            <w:r>
              <w:rPr>
                <w:rFonts w:ascii="Calibri" w:hAnsi="Calibri" w:cs="Calibri"/>
                <w:sz w:val="20"/>
              </w:rPr>
              <w:t xml:space="preserve">gemma4:e4b</w:t>
            </w:r>
          </w:p>
        </w:tc>
        <w:tc>
          <w:tcPr>
            <w:tcW w:w="3360" w:type="dxa"/>
          </w:tcPr>
          <w:p>
            <w:pPr>
              <w:spacing w:before="0" w:after="0"/>
            </w:pPr>
            <w:r>
              <w:rPr>
                <w:rFonts w:ascii="Calibri" w:hAnsi="Calibri" w:cs="Calibri"/>
                <w:sz w:val="20"/>
              </w:rPr>
              <w:t xml:space="preserve">8.0B parameters, Q4_K_M, 9.6 GB on disk, native context 131,072</w:t>
            </w:r>
          </w:p>
        </w:tc>
        <w:tc>
          <w:tcPr>
            <w:tcW w:w="3360" w:type="dxa"/>
          </w:tcPr>
          <w:p>
            <w:pPr>
              <w:spacing w:before="0" w:after="0"/>
            </w:pPr>
            <w:r>
              <w:rPr>
                <w:rFonts w:ascii="Calibri" w:hAnsi="Calibri" w:cs="Calibri"/>
                <w:sz w:val="20"/>
              </w:rPr>
              <w:t xml:space="preserve">/api/show</w:t>
            </w:r>
          </w:p>
        </w:tc>
      </w:tr>
      <w:tr>
        <w:tc>
          <w:tcPr>
            <w:tcW w:w="3360" w:type="dxa"/>
          </w:tcPr>
          <w:p>
            <w:pPr>
              <w:spacing w:before="0" w:after="0"/>
            </w:pPr>
            <w:r>
              <w:rPr>
                <w:rFonts w:ascii="Calibri" w:hAnsi="Calibri" w:cs="Calibri"/>
                <w:sz w:val="20"/>
              </w:rPr>
              <w:t xml:space="preserve">gemma4:e4b at num_ctx 8192 — as reported</w:t>
            </w:r>
          </w:p>
        </w:tc>
        <w:tc>
          <w:tcPr>
            <w:tcW w:w="3360" w:type="dxa"/>
          </w:tcPr>
          <w:p>
            <w:pPr>
              <w:spacing w:before="0" w:after="0"/>
            </w:pPr>
            <w:r>
              <w:rPr>
                <w:rFonts w:ascii="Calibri" w:hAnsi="Calibri" w:cs="Calibri"/>
                <w:sz w:val="20"/>
              </w:rPr>
              <w:t xml:space="preserve">3.2 GB, 100% GPU</w:t>
            </w:r>
          </w:p>
        </w:tc>
        <w:tc>
          <w:tcPr>
            <w:tcW w:w="3360" w:type="dxa"/>
          </w:tcPr>
          <w:p>
            <w:pPr>
              <w:spacing w:before="0" w:after="0"/>
            </w:pPr>
            <w:r>
              <w:rPr>
                <w:rFonts w:ascii="Calibri" w:hAnsi="Calibri" w:cs="Calibri"/>
                <w:sz w:val="20"/>
              </w:rPr>
              <w:t xml:space="preserve">ollama ps — understates real cost</w:t>
            </w:r>
          </w:p>
        </w:tc>
      </w:tr>
      <w:tr>
        <w:tc>
          <w:tcPr>
            <w:tcW w:w="3360" w:type="dxa"/>
          </w:tcPr>
          <w:p>
            <w:pPr>
              <w:spacing w:before="0" w:after="0"/>
            </w:pPr>
            <w:r>
              <w:rPr>
                <w:rFonts w:ascii="Calibri" w:hAnsi="Calibri" w:cs="Calibri"/>
                <w:sz w:val="20"/>
              </w:rPr>
              <w:t xml:space="preserve">gemma4:e4b at num_ctx 8192 — real cost</w:t>
            </w:r>
          </w:p>
        </w:tc>
        <w:tc>
          <w:tcPr>
            <w:tcW w:w="3360" w:type="dxa"/>
          </w:tcPr>
          <w:p>
            <w:pPr>
              <w:spacing w:before="0" w:after="0"/>
            </w:pPr>
            <w:r>
              <w:rPr>
                <w:rFonts w:ascii="Calibri" w:hAnsi="Calibri" w:cs="Calibri"/>
                <w:sz w:val="20"/>
              </w:rPr>
              <w:t xml:space="preserve">Free 59% → 24% (~5.6 GB) plus ~1.6 GB of applications pushed to swap ≈ 7 GB</w:t>
            </w:r>
          </w:p>
        </w:tc>
        <w:tc>
          <w:tcPr>
            <w:tcW w:w="3360" w:type="dxa"/>
          </w:tcPr>
          <w:p>
            <w:pPr>
              <w:spacing w:before="0" w:after="0"/>
            </w:pPr>
            <w:r>
              <w:rPr>
                <w:rFonts w:ascii="Calibri" w:hAnsi="Calibri" w:cs="Calibri"/>
                <w:sz w:val="20"/>
              </w:rPr>
              <w:t xml:space="preserve">The measurement method this ADR adopts</w:t>
            </w:r>
          </w:p>
        </w:tc>
      </w:tr>
      <w:tr>
        <w:tc>
          <w:tcPr>
            <w:tcW w:w="3360" w:type="dxa"/>
          </w:tcPr>
          <w:p>
            <w:pPr>
              <w:spacing w:before="0" w:after="0"/>
            </w:pPr>
            <w:r>
              <w:rPr>
                <w:rFonts w:ascii="Calibri" w:hAnsi="Calibri" w:cs="Calibri"/>
                <w:sz w:val="20"/>
              </w:rPr>
              <w:t xml:space="preserve">Cold load / throughput</w:t>
            </w:r>
          </w:p>
        </w:tc>
        <w:tc>
          <w:tcPr>
            <w:tcW w:w="3360" w:type="dxa"/>
          </w:tcPr>
          <w:p>
            <w:pPr>
              <w:spacing w:before="0" w:after="0"/>
            </w:pPr>
            <w:r>
              <w:rPr>
                <w:rFonts w:ascii="Calibri" w:hAnsi="Calibri" w:cs="Calibri"/>
                <w:sz w:val="20"/>
              </w:rPr>
              <w:t xml:space="preserve">6.8 s; 97 tok/s prompt; 17 tok/s generation</w:t>
            </w:r>
          </w:p>
        </w:tc>
        <w:tc>
          <w:tcPr>
            <w:tcW w:w="3360" w:type="dxa"/>
          </w:tcPr>
          <w:p>
            <w:pPr>
              <w:spacing w:before="0" w:after="0"/>
            </w:pPr>
            <w:r>
              <w:rPr>
                <w:rFonts w:ascii="Calibri" w:hAnsi="Calibri" w:cs="Calibri"/>
                <w:sz w:val="20"/>
              </w:rPr>
              <w:t xml:space="preserve">No thermal warning on a short run</w:t>
            </w:r>
          </w:p>
        </w:tc>
      </w:tr>
      <w:tr>
        <w:tc>
          <w:tcPr>
            <w:tcW w:w="3360" w:type="dxa"/>
          </w:tcPr>
          <w:p>
            <w:pPr>
              <w:spacing w:before="0" w:after="0"/>
            </w:pPr>
            <w:r>
              <w:rPr>
                <w:rFonts w:ascii="Calibri" w:hAnsi="Calibri" w:cs="Calibri"/>
                <w:sz w:val="20"/>
              </w:rPr>
              <w:t xml:space="preserve">Ollama server</w:t>
            </w:r>
          </w:p>
        </w:tc>
        <w:tc>
          <w:tcPr>
            <w:tcW w:w="3360" w:type="dxa"/>
          </w:tcPr>
          <w:p>
            <w:pPr>
              <w:spacing w:before="0" w:after="0"/>
            </w:pPr>
            <w:r>
              <w:rPr>
                <w:rFonts w:ascii="Calibri" w:hAnsi="Calibri" w:cs="Calibri"/>
                <w:sz w:val="20"/>
              </w:rPr>
              <w:t xml:space="preserve">0.34.0, run by Ollama.app at login</w:t>
            </w:r>
          </w:p>
        </w:tc>
        <w:tc>
          <w:tcPr>
            <w:tcW w:w="3360" w:type="dxa"/>
          </w:tcPr>
          <w:p>
            <w:pPr>
              <w:spacing w:before="0" w:after="0"/>
            </w:pPr>
            <w:r>
              <w:rPr>
                <w:rFonts w:ascii="Calibri" w:hAnsi="Calibri" w:cs="Calibri"/>
                <w:sz w:val="20"/>
              </w:rPr>
              <w:t xml:space="preserve">Documentation said 0.32.15</w:t>
            </w:r>
          </w:p>
        </w:tc>
      </w:tr>
      <w:tr>
        <w:tc>
          <w:tcPr>
            <w:tcW w:w="3360" w:type="dxa"/>
          </w:tcPr>
          <w:p>
            <w:pPr>
              <w:spacing w:before="0" w:after="0"/>
            </w:pPr>
            <w:r>
              <w:rPr>
                <w:rFonts w:ascii="Calibri" w:hAnsi="Calibri" w:cs="Calibri"/>
                <w:sz w:val="20"/>
              </w:rPr>
              <w:t xml:space="preserve">llama3.2 "fallback"</w:t>
            </w:r>
          </w:p>
        </w:tc>
        <w:tc>
          <w:tcPr>
            <w:tcW w:w="3360" w:type="dxa"/>
          </w:tcPr>
          <w:p>
            <w:pPr>
              <w:spacing w:before="0" w:after="0"/>
            </w:pPr>
            <w:r>
              <w:rPr>
                <w:rFonts w:ascii="Calibri" w:hAnsi="Calibri" w:cs="Calibri"/>
                <w:sz w:val="20"/>
              </w:rPr>
              <w:t xml:space="preserve">Not installed</w:t>
            </w:r>
          </w:p>
        </w:tc>
        <w:tc>
          <w:tcPr>
            <w:tcW w:w="3360" w:type="dxa"/>
          </w:tcPr>
          <w:p>
            <w:pPr>
              <w:spacing w:before="0" w:after="0"/>
            </w:pPr>
            <w:r>
              <w:rPr>
                <w:rFonts w:ascii="Calibri" w:hAnsi="Calibri" w:cs="Calibri"/>
                <w:sz w:val="20"/>
              </w:rPr>
              <w:t xml:space="preserve">Documentation said it was</w:t>
            </w:r>
          </w:p>
        </w:tc>
      </w:tr>
      <w:tr>
        <w:tc>
          <w:tcPr>
            <w:tcW w:w="3360" w:type="dxa"/>
          </w:tcPr>
          <w:p>
            <w:pPr>
              <w:spacing w:before="0" w:after="0"/>
            </w:pPr>
            <w:r>
              <w:rPr>
                <w:rFonts w:ascii="Calibri" w:hAnsi="Calibri" w:cs="Calibri"/>
                <w:sz w:val="20"/>
              </w:rPr>
              <w:t xml:space="preserve">Memory pressure signal</w:t>
            </w:r>
          </w:p>
        </w:tc>
        <w:tc>
          <w:tcPr>
            <w:tcW w:w="3360" w:type="dxa"/>
          </w:tcPr>
          <w:p>
            <w:pPr>
              <w:spacing w:before="0" w:after="0"/>
            </w:pPr>
            <w:r>
              <w:rPr>
                <w:rFonts w:ascii="Calibri" w:hAnsi="Calibri" w:cs="Calibri"/>
                <w:sz w:val="20"/>
              </w:rPr>
              <w:t xml:space="preserve">kern.memorystatus_vm_pressure_level = 1</w:t>
            </w:r>
          </w:p>
        </w:tc>
        <w:tc>
          <w:tcPr>
            <w:tcW w:w="3360" w:type="dxa"/>
          </w:tcPr>
          <w:p>
            <w:pPr>
              <w:spacing w:before="0" w:after="0"/>
            </w:pPr>
            <w:r>
              <w:rPr>
                <w:rFonts w:ascii="Calibri" w:hAnsi="Calibri" w:cs="Calibri"/>
                <w:sz w:val="20"/>
              </w:rPr>
              <w:t xml:space="preserve">1 normal, 2 warn, 4 critical</w:t>
            </w:r>
          </w:p>
        </w:tc>
      </w:tr>
    </w:tbl>
    <w:p/>
    <w:p>
      <w:pPr>
        <w:spacing w:before="0" w:after="100"/>
      </w:pPr>
      <w:r>
        <w:rPr>
          <w:rFonts w:ascii="Calibri" w:hAnsi="Calibri" w:cs="Calibri"/>
          <w:sz w:val="21"/>
        </w:rPr>
        <w:t xml:space="preserve">Three conclusions drive the design. First, the binding constraint is what the operator's own interactive applications leave free — the laptop is an interactive machine first. Second, every model load pushes about 1.7 GB of the operator's working set to swap, and it stays there, so frequent loads degrade the operator's own use of the machine. Third, the Docker VM is small in practice but uncapped in principle.</w:t>
      </w:r>
    </w:p>
    <w:p>
      <w:pPr>
        <w:spacing w:before="240" w:after="80"/>
      </w:pPr>
      <w:r>
        <w:rPr>
          <w:rFonts w:ascii="Calibri" w:hAnsi="Calibri" w:cs="Calibri"/>
          <w:b/>
          <w:sz w:val="26"/>
        </w:rPr>
        <w:t xml:space="preserve">3. Memory Budget</w:t>
      </w:r>
    </w:p>
    <w:tbl>
      <w:tblPr>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3360"/>
        <w:gridCol w:w="3360"/>
        <w:gridCol w:w="3360"/>
      </w:tblGrid>
      <w:tr>
        <w:tc>
          <w:tcPr>
            <w:tcW w:w="3360" w:type="dxa"/>
            <w:shd w:val="clear" w:color="auto" w:fill="F2F2F2"/>
          </w:tcPr>
          <w:p>
            <w:pPr>
              <w:spacing w:before="0" w:after="0"/>
            </w:pPr>
            <w:r>
              <w:rPr>
                <w:rFonts w:ascii="Calibri" w:hAnsi="Calibri" w:cs="Calibri"/>
                <w:b/>
                <w:sz w:val="20"/>
              </w:rPr>
              <w:t xml:space="preserve">Consumer</w:t>
            </w:r>
          </w:p>
        </w:tc>
        <w:tc>
          <w:tcPr>
            <w:tcW w:w="3360" w:type="dxa"/>
            <w:shd w:val="clear" w:color="auto" w:fill="F2F2F2"/>
          </w:tcPr>
          <w:p>
            <w:pPr>
              <w:spacing w:before="0" w:after="0"/>
            </w:pPr>
            <w:r>
              <w:rPr>
                <w:rFonts w:ascii="Calibri" w:hAnsi="Calibri" w:cs="Calibri"/>
                <w:b/>
                <w:sz w:val="20"/>
              </w:rPr>
              <w:t xml:space="preserve">Planning figure</w:t>
            </w:r>
          </w:p>
        </w:tc>
        <w:tc>
          <w:tcPr>
            <w:tcW w:w="3360" w:type="dxa"/>
            <w:shd w:val="clear" w:color="auto" w:fill="F2F2F2"/>
          </w:tcPr>
          <w:p>
            <w:pPr>
              <w:spacing w:before="0" w:after="0"/>
            </w:pPr>
            <w:r>
              <w:rPr>
                <w:rFonts w:ascii="Calibri" w:hAnsi="Calibri" w:cs="Calibri"/>
                <w:b/>
                <w:sz w:val="20"/>
              </w:rPr>
              <w:t xml:space="preserve">Control</w:t>
            </w:r>
          </w:p>
        </w:tc>
      </w:tr>
      <w:tr>
        <w:tc>
          <w:tcPr>
            <w:tcW w:w="3360" w:type="dxa"/>
          </w:tcPr>
          <w:p>
            <w:pPr>
              <w:spacing w:before="0" w:after="0"/>
            </w:pPr>
            <w:r>
              <w:rPr>
                <w:rFonts w:ascii="Calibri" w:hAnsi="Calibri" w:cs="Calibri"/>
                <w:sz w:val="20"/>
              </w:rPr>
              <w:t xml:space="preserve">macOS kernel and system services</w:t>
            </w:r>
          </w:p>
        </w:tc>
        <w:tc>
          <w:tcPr>
            <w:tcW w:w="3360" w:type="dxa"/>
          </w:tcPr>
          <w:p>
            <w:pPr>
              <w:spacing w:before="0" w:after="0"/>
            </w:pPr>
            <w:r>
              <w:rPr>
                <w:rFonts w:ascii="Calibri" w:hAnsi="Calibri" w:cs="Calibri"/>
                <w:sz w:val="20"/>
              </w:rPr>
              <w:t xml:space="preserve">3.0 GB</w:t>
            </w:r>
          </w:p>
        </w:tc>
        <w:tc>
          <w:tcPr>
            <w:tcW w:w="3360" w:type="dxa"/>
          </w:tcPr>
          <w:p>
            <w:pPr>
              <w:spacing w:before="0" w:after="0"/>
            </w:pPr>
            <w:r>
              <w:rPr>
                <w:rFonts w:ascii="Calibri" w:hAnsi="Calibri" w:cs="Calibri"/>
                <w:sz w:val="20"/>
              </w:rPr>
              <w:t xml:space="preserve">None (not controllable)</w:t>
            </w:r>
          </w:p>
        </w:tc>
      </w:tr>
      <w:tr>
        <w:tc>
          <w:tcPr>
            <w:tcW w:w="3360" w:type="dxa"/>
          </w:tcPr>
          <w:p>
            <w:pPr>
              <w:spacing w:before="0" w:after="0"/>
            </w:pPr>
            <w:r>
              <w:rPr>
                <w:rFonts w:ascii="Calibri" w:hAnsi="Calibri" w:cs="Calibri"/>
                <w:sz w:val="20"/>
              </w:rPr>
              <w:t xml:space="preserve">Operator interactive applications</w:t>
            </w:r>
          </w:p>
        </w:tc>
        <w:tc>
          <w:tcPr>
            <w:tcW w:w="3360" w:type="dxa"/>
          </w:tcPr>
          <w:p>
            <w:pPr>
              <w:spacing w:before="0" w:after="0"/>
            </w:pPr>
            <w:r>
              <w:rPr>
                <w:rFonts w:ascii="Calibri" w:hAnsi="Calibri" w:cs="Calibri"/>
                <w:sz w:val="20"/>
              </w:rPr>
              <w:t xml:space="preserve">4.0 GB</w:t>
            </w:r>
          </w:p>
        </w:tc>
        <w:tc>
          <w:tcPr>
            <w:tcW w:w="3360" w:type="dxa"/>
          </w:tcPr>
          <w:p>
            <w:pPr>
              <w:spacing w:before="0" w:after="0"/>
            </w:pPr>
            <w:r>
              <w:rPr>
                <w:rFonts w:ascii="Calibri" w:hAnsi="Calibri" w:cs="Calibri"/>
                <w:sz w:val="20"/>
              </w:rPr>
              <w:t xml:space="preserve">None — the variable the design works around</w:t>
            </w:r>
          </w:p>
        </w:tc>
      </w:tr>
      <w:tr>
        <w:tc>
          <w:tcPr>
            <w:tcW w:w="3360" w:type="dxa"/>
          </w:tcPr>
          <w:p>
            <w:pPr>
              <w:spacing w:before="0" w:after="0"/>
            </w:pPr>
            <w:r>
              <w:rPr>
                <w:rFonts w:ascii="Calibri" w:hAnsi="Calibri" w:cs="Calibri"/>
                <w:sz w:val="20"/>
              </w:rPr>
              <w:t xml:space="preserve">Docker VM (four containers)</w:t>
            </w:r>
          </w:p>
        </w:tc>
        <w:tc>
          <w:tcPr>
            <w:tcW w:w="3360" w:type="dxa"/>
          </w:tcPr>
          <w:p>
            <w:pPr>
              <w:spacing w:before="0" w:after="0"/>
            </w:pPr>
            <w:r>
              <w:rPr>
                <w:rFonts w:ascii="Calibri" w:hAnsi="Calibri" w:cs="Calibri"/>
                <w:sz w:val="20"/>
              </w:rPr>
              <w:t xml:space="preserve">1.5 GB expected</w:t>
            </w:r>
          </w:p>
        </w:tc>
        <w:tc>
          <w:tcPr>
            <w:tcW w:w="3360" w:type="dxa"/>
          </w:tcPr>
          <w:p>
            <w:pPr>
              <w:spacing w:before="0" w:after="0"/>
            </w:pPr>
            <w:r>
              <w:rPr>
                <w:rFonts w:ascii="Calibri" w:hAnsi="Calibri" w:cs="Calibri"/>
                <w:sz w:val="20"/>
              </w:rPr>
              <w:t xml:space="preserve">Docker Desktop memory capped at 3 GB (from 11.67 GiB)</w:t>
            </w:r>
          </w:p>
        </w:tc>
      </w:tr>
      <w:tr>
        <w:tc>
          <w:tcPr>
            <w:tcW w:w="3360" w:type="dxa"/>
          </w:tcPr>
          <w:p>
            <w:pPr>
              <w:spacing w:before="0" w:after="0"/>
            </w:pPr>
            <w:r>
              <w:rPr>
                <w:rFonts w:ascii="Calibri" w:hAnsi="Calibri" w:cs="Calibri"/>
                <w:sz w:val="20"/>
              </w:rPr>
              <w:t xml:space="preserve">Ollama — weights, KV cache, runtime</w:t>
            </w:r>
          </w:p>
        </w:tc>
        <w:tc>
          <w:tcPr>
            <w:tcW w:w="3360" w:type="dxa"/>
          </w:tcPr>
          <w:p>
            <w:pPr>
              <w:spacing w:before="0" w:after="0"/>
            </w:pPr>
            <w:r>
              <w:rPr>
                <w:rFonts w:ascii="Calibri" w:hAnsi="Calibri" w:cs="Calibri"/>
                <w:sz w:val="20"/>
              </w:rPr>
              <w:t xml:space="preserve">7.0 GB envelope</w:t>
            </w:r>
          </w:p>
        </w:tc>
        <w:tc>
          <w:tcPr>
            <w:tcW w:w="3360" w:type="dxa"/>
          </w:tcPr>
          <w:p>
            <w:pPr>
              <w:spacing w:before="0" w:after="0"/>
            </w:pPr>
            <w:r>
              <w:rPr>
                <w:rFonts w:ascii="Calibri" w:hAnsi="Calibri" w:cs="Calibri"/>
                <w:sz w:val="20"/>
              </w:rPr>
              <w:t xml:space="preserve">Model and num_ctx chosen to fit; one model loaded at a time</w:t>
            </w:r>
          </w:p>
        </w:tc>
      </w:tr>
      <w:tr>
        <w:tc>
          <w:tcPr>
            <w:tcW w:w="3360" w:type="dxa"/>
          </w:tcPr>
          <w:p>
            <w:pPr>
              <w:spacing w:before="0" w:after="0"/>
            </w:pPr>
            <w:r>
              <w:rPr>
                <w:rFonts w:ascii="Calibri" w:hAnsi="Calibri" w:cs="Calibri"/>
                <w:sz w:val="20"/>
              </w:rPr>
              <w:t xml:space="preserve">Headroom</w:t>
            </w:r>
          </w:p>
        </w:tc>
        <w:tc>
          <w:tcPr>
            <w:tcW w:w="3360" w:type="dxa"/>
          </w:tcPr>
          <w:p>
            <w:pPr>
              <w:spacing w:before="0" w:after="0"/>
            </w:pPr>
            <w:r>
              <w:rPr>
                <w:rFonts w:ascii="Calibri" w:hAnsi="Calibri" w:cs="Calibri"/>
                <w:sz w:val="20"/>
              </w:rPr>
              <w:t xml:space="preserve">~0.5–1.5 GB</w:t>
            </w:r>
          </w:p>
        </w:tc>
        <w:tc>
          <w:tcPr>
            <w:tcW w:w="3360" w:type="dxa"/>
          </w:tcPr>
          <w:p>
            <w:pPr>
              <w:spacing w:before="0" w:after="0"/>
            </w:pPr>
          </w:p>
        </w:tc>
      </w:tr>
    </w:tbl>
    <w:p/>
    <w:p>
      <w:pPr>
        <w:spacing w:before="0" w:after="100"/>
      </w:pPr>
      <w:r>
        <w:rPr>
          <w:rFonts w:ascii="Calibri" w:hAnsi="Calibri" w:cs="Calibri"/>
          <w:sz w:val="21"/>
        </w:rPr>
        <w:t xml:space="preserve">The envelope, not a parameter count, is the model-selection limit: real measured cost of 7 GB or less at the chosen num_ctx, measured by the Section 2 method. In practice this means roughly 9B parameters or fewer at Q4. 12B-class models and gpt-oss-20b are excluded unless a measurement places them inside the envelope.</w:t>
      </w:r>
    </w:p>
    <w:p>
      <w:pPr>
        <w:spacing w:before="0" w:after="100"/>
      </w:pPr>
      <w:r>
        <w:rPr>
          <w:rFonts w:ascii="Calibri" w:hAnsi="Calibri" w:cs="Calibri"/>
          <w:sz w:val="21"/>
        </w:rPr>
        <w:t xml:space="preserve">No VPS exists (operator, September 29, 2026). The four containers remain on this host, and the budget above is the operating budget, not an interim one.</w:t>
      </w:r>
    </w:p>
    <w:p>
      <w:pPr>
        <w:spacing w:before="240" w:after="80"/>
      </w:pPr>
      <w:r>
        <w:rPr>
          <w:rFonts w:ascii="Calibri" w:hAnsi="Calibri" w:cs="Calibri"/>
          <w:b/>
          <w:sz w:val="26"/>
        </w:rPr>
        <w:t xml:space="preserve">4. Model Selection — Bake-off</w:t>
      </w:r>
    </w:p>
    <w:p>
      <w:pPr>
        <w:spacing w:before="0" w:after="60"/>
        <w:ind w:left="360" w:hanging="260"/>
      </w:pPr>
      <w:r>
        <w:rPr>
          <w:rFonts w:ascii="Calibri" w:hAnsi="Calibri" w:cs="Calibri"/>
          <w:sz w:val="21"/>
        </w:rPr>
        <w:t xml:space="preserve">•	</w:t>
      </w:r>
      <w:r>
        <w:rPr>
          <w:rFonts w:ascii="Calibri" w:hAnsi="Calibri" w:cs="Calibri"/>
          <w:b/>
          <w:sz w:val="21"/>
        </w:rPr>
        <w:t xml:space="preserve">Candidates:</w:t>
      </w:r>
      <w:r>
        <w:rPr>
          <w:rFonts w:ascii="Calibri" w:hAnsi="Calibri" w:cs="Calibri"/>
          <w:sz w:val="21"/>
        </w:rPr>
        <w:t xml:space="preserve"> gemma4:e4b (incumbent) and at most two current challengers in the ~8–9B class (a current Qwen 3.5 ~9B and Qwen 3 8B were identified from non-authoritative web roundups; exact tags are confirmed at pull time). Each download (~5–6 GB) is approved individually.</w:t>
      </w:r>
    </w:p>
    <w:p>
      <w:pPr>
        <w:spacing w:before="0" w:after="60"/>
        <w:ind w:left="360" w:hanging="260"/>
      </w:pPr>
      <w:r>
        <w:rPr>
          <w:rFonts w:ascii="Calibri" w:hAnsi="Calibri" w:cs="Calibri"/>
          <w:sz w:val="21"/>
        </w:rPr>
        <w:t xml:space="preserve">•	</w:t>
      </w:r>
      <w:r>
        <w:rPr>
          <w:rFonts w:ascii="Calibri" w:hAnsi="Calibri" w:cs="Calibri"/>
          <w:b/>
          <w:sz w:val="21"/>
        </w:rPr>
        <w:t xml:space="preserve">Harness:</w:t>
      </w:r>
      <w:r>
        <w:rPr>
          <w:rFonts w:ascii="Calibri" w:hAnsi="Calibri" w:cs="Calibri"/>
          <w:sz w:val="21"/>
        </w:rPr>
        <w:t xml:space="preserve"> generate_brief_review.py in review-only (side-effect-free) mode over one frozen 7-day window, three runs per model. Fabrication is stochastic — identical input has produced both "18 states" and "15 states" — so a single run proves nothing.</w:t>
      </w:r>
    </w:p>
    <w:p>
      <w:pPr>
        <w:spacing w:before="0" w:after="60"/>
        <w:ind w:left="360" w:hanging="260"/>
      </w:pPr>
      <w:r>
        <w:rPr>
          <w:rFonts w:ascii="Calibri" w:hAnsi="Calibri" w:cs="Calibri"/>
          <w:sz w:val="21"/>
        </w:rPr>
        <w:t xml:space="preserve">•	</w:t>
      </w:r>
      <w:r>
        <w:rPr>
          <w:rFonts w:ascii="Calibri" w:hAnsi="Calibri" w:cs="Calibri"/>
          <w:b/>
          <w:sz w:val="21"/>
        </w:rPr>
        <w:t xml:space="preserve">Metrics, in priority order:</w:t>
      </w:r>
      <w:r>
        <w:rPr>
          <w:rFonts w:ascii="Calibri" w:hAnsi="Calibri" w:cs="Calibri"/>
          <w:sz w:val="21"/>
        </w:rPr>
        <w:t xml:space="preserve"> (1) verify_claims() warnings; (2) truncation events; (3) real memory cost; (4) wall time; (5) peak pressure level.</w:t>
      </w:r>
    </w:p>
    <w:p>
      <w:pPr>
        <w:spacing w:before="0" w:after="60"/>
        <w:ind w:left="360" w:hanging="260"/>
      </w:pPr>
      <w:r>
        <w:rPr>
          <w:rFonts w:ascii="Calibri" w:hAnsi="Calibri" w:cs="Calibri"/>
          <w:sz w:val="21"/>
        </w:rPr>
        <w:t xml:space="preserve">•	</w:t>
      </w:r>
      <w:r>
        <w:rPr>
          <w:rFonts w:ascii="Calibri" w:hAnsi="Calibri" w:cs="Calibri"/>
          <w:b/>
          <w:sz w:val="21"/>
        </w:rPr>
        <w:t xml:space="preserve">Decision rule:</w:t>
      </w:r>
      <w:r>
        <w:rPr>
          <w:rFonts w:ascii="Calibri" w:hAnsi="Calibri" w:cs="Calibri"/>
          <w:sz w:val="21"/>
        </w:rPr>
        <w:t xml:space="preserve"> fewest verifier warnings across three runs; ties broken by lower memory cost. The incumbent is kept unless a challenger is strictly better on metric 1, or equal on 1 and better on 3.</w:t>
      </w:r>
    </w:p>
    <w:p>
      <w:pPr>
        <w:spacing w:before="0" w:after="60"/>
        <w:ind w:left="360" w:hanging="260"/>
      </w:pPr>
      <w:r>
        <w:rPr>
          <w:rFonts w:ascii="Calibri" w:hAnsi="Calibri" w:cs="Calibri"/>
          <w:sz w:val="21"/>
        </w:rPr>
        <w:t xml:space="preserve">•	</w:t>
      </w:r>
      <w:r>
        <w:rPr>
          <w:rFonts w:ascii="Calibri" w:hAnsi="Calibri" w:cs="Calibri"/>
          <w:b/>
          <w:sz w:val="21"/>
        </w:rPr>
        <w:t xml:space="preserve">One local model.</w:t>
      </w:r>
      <w:r>
        <w:rPr>
          <w:rFonts w:ascii="Calibri" w:hAnsi="Calibri" w:cs="Calibri"/>
          <w:sz w:val="21"/>
        </w:rPr>
        <w:t xml:space="preserve"> No separate small model: with one model loaded at a time, switching costs a 7-second load and another ~1.7 GB swap push. Losing models are removed.</w:t>
      </w:r>
    </w:p>
    <w:p>
      <w:pPr>
        <w:spacing w:before="0" w:after="60"/>
        <w:ind w:left="360" w:hanging="260"/>
      </w:pPr>
      <w:r>
        <w:rPr>
          <w:rFonts w:ascii="Calibri" w:hAnsi="Calibri" w:cs="Calibri"/>
          <w:sz w:val="21"/>
        </w:rPr>
        <w:t xml:space="preserve">•	</w:t>
      </w:r>
      <w:r>
        <w:rPr>
          <w:rFonts w:ascii="Calibri" w:hAnsi="Calibri" w:cs="Calibri"/>
          <w:b/>
          <w:sz w:val="21"/>
        </w:rPr>
        <w:t xml:space="preserve">Results</w:t>
      </w:r>
      <w:r>
        <w:rPr>
          <w:rFonts w:ascii="Calibri" w:hAnsi="Calibri" w:cs="Calibri"/>
          <w:sz w:val="21"/>
        </w:rPr>
        <w:t xml:space="preserve"> are recorded as a dated amendment to this ADR.</w:t>
      </w:r>
    </w:p>
    <w:p>
      <w:pPr>
        <w:spacing w:before="240" w:after="80"/>
      </w:pPr>
      <w:r>
        <w:rPr>
          <w:rFonts w:ascii="Calibri" w:hAnsi="Calibri" w:cs="Calibri"/>
          <w:b/>
          <w:sz w:val="26"/>
        </w:rPr>
        <w:t xml:space="preserve">5. Context Limits</w:t>
      </w:r>
    </w:p>
    <w:p>
      <w:pPr>
        <w:spacing w:before="0" w:after="60"/>
        <w:ind w:left="360" w:hanging="260"/>
      </w:pPr>
      <w:r>
        <w:rPr>
          <w:rFonts w:ascii="Calibri" w:hAnsi="Calibri" w:cs="Calibri"/>
          <w:sz w:val="21"/>
        </w:rPr>
        <w:t xml:space="preserve">•	</w:t>
      </w:r>
      <w:r>
        <w:rPr>
          <w:rFonts w:ascii="Calibri" w:hAnsi="Calibri" w:cs="Calibri"/>
          <w:b/>
          <w:sz w:val="21"/>
        </w:rPr>
        <w:t xml:space="preserve">Default num_ctx remains 8192.</w:t>
      </w:r>
      <w:r>
        <w:rPr>
          <w:rFonts w:ascii="Calibri" w:hAnsi="Calibri" w:cs="Calibri"/>
          <w:sz w:val="21"/>
        </w:rPr>
        <w:t xml:space="preserve"> The largest section to date (19 documents at ~140 tokens each, plus the system prompt) fits comfortably.</w:t>
      </w:r>
    </w:p>
    <w:p>
      <w:pPr>
        <w:spacing w:before="0" w:after="60"/>
        <w:ind w:left="360" w:hanging="260"/>
      </w:pPr>
      <w:r>
        <w:rPr>
          <w:rFonts w:ascii="Calibri" w:hAnsi="Calibri" w:cs="Calibri"/>
          <w:sz w:val="21"/>
        </w:rPr>
        <w:t xml:space="preserve">•	</w:t>
      </w:r>
      <w:r>
        <w:rPr>
          <w:rFonts w:ascii="Calibri" w:hAnsi="Calibri" w:cs="Calibri"/>
          <w:b/>
          <w:sz w:val="21"/>
        </w:rPr>
        <w:t xml:space="preserve">Truncation guard (new, fail-closed).</w:t>
      </w:r>
      <w:r>
        <w:rPr>
          <w:rFonts w:ascii="Calibri" w:hAnsi="Calibri" w:cs="Calibri"/>
          <w:sz w:val="21"/>
        </w:rPr>
        <w:t xml:space="preserve"> Ollama truncates silently; that is how Entry #018 was misdiagnosed. After every call, if prompt_eval_count + eval_count ≥ num_ctx − 256, the output is treated as truncated: review mode warns; --send is blocked, exactly as an unverified claim blocks it.</w:t>
      </w:r>
    </w:p>
    <w:p>
      <w:pPr>
        <w:spacing w:before="0" w:after="60"/>
        <w:ind w:left="360" w:hanging="260"/>
      </w:pPr>
      <w:r>
        <w:rPr>
          <w:rFonts w:ascii="Calibri" w:hAnsi="Calibri" w:cs="Calibri"/>
          <w:sz w:val="21"/>
        </w:rPr>
        <w:t xml:space="preserve">•	</w:t>
      </w:r>
      <w:r>
        <w:rPr>
          <w:rFonts w:ascii="Calibri" w:hAnsi="Calibri" w:cs="Calibri"/>
          <w:b/>
          <w:sz w:val="21"/>
        </w:rPr>
        <w:t xml:space="preserve">16K is conditional.</w:t>
      </w:r>
      <w:r>
        <w:rPr>
          <w:rFonts w:ascii="Calibri" w:hAnsi="Calibri" w:cs="Calibri"/>
          <w:sz w:val="21"/>
        </w:rPr>
        <w:t xml:space="preserve"> Raising num_ctx to 16,384 requires flash attention and a q8_0 KV cache (Ollama server settings, Section 9) and a measurement showing real cost stays within 7 GB.</w:t>
      </w:r>
    </w:p>
    <w:p>
      <w:pPr>
        <w:spacing w:before="0" w:after="60"/>
        <w:ind w:left="360" w:hanging="260"/>
      </w:pPr>
      <w:r>
        <w:rPr>
          <w:rFonts w:ascii="Calibri" w:hAnsi="Calibri" w:cs="Calibri"/>
          <w:sz w:val="21"/>
        </w:rPr>
        <w:t xml:space="preserve">•	</w:t>
      </w:r>
      <w:r>
        <w:rPr>
          <w:rFonts w:ascii="Calibri" w:hAnsi="Calibri" w:cs="Calibri"/>
          <w:b/>
          <w:sz w:val="21"/>
        </w:rPr>
        <w:t xml:space="preserve">Beyond the local ceiling:</w:t>
      </w:r>
      <w:r>
        <w:rPr>
          <w:rFonts w:ascii="Calibri" w:hAnsi="Calibri" w:cs="Calibri"/>
          <w:sz w:val="21"/>
        </w:rPr>
        <w:t xml:space="preserve"> public data may escalate to the Claude API (Section 7). Confidential data is chunked and summarised locally in multiple passes and never escalated.</w:t>
      </w:r>
    </w:p>
    <w:p>
      <w:pPr>
        <w:spacing w:before="240" w:after="80"/>
      </w:pPr>
      <w:r>
        <w:rPr>
          <w:rFonts w:ascii="Calibri" w:hAnsi="Calibri" w:cs="Calibri"/>
          <w:b/>
          <w:sz w:val="26"/>
        </w:rPr>
        <w:t xml:space="preserve">6. Job Scheduling</w:t>
      </w:r>
    </w:p>
    <w:p>
      <w:pPr>
        <w:spacing w:before="0" w:after="100"/>
      </w:pPr>
      <w:r>
        <w:rPr>
          <w:rFonts w:ascii="Calibri" w:hAnsi="Calibri" w:cs="Calibri"/>
          <w:b/>
          <w:sz w:val="21"/>
        </w:rPr>
        <w:t xml:space="preserve">One inference job at a time, host-wide.</w:t>
      </w:r>
      <w:r>
        <w:rPr>
          <w:rFonts w:ascii="Calibri" w:hAnsi="Calibri" w:cs="Calibri"/>
          <w:sz w:val="21"/>
        </w:rPr>
        <w:t xml:space="preserve"> Enforced by a PostgreSQL advisory lock (pg_try_advisory_lock), reachable from both the host generator and the container /agent path, and by the Ollama server settings OLLAMA_MAX_LOADED_MODELS=1 and OLLAMA_NUM_PARALLEL=1 (parallel slots multiply KV-cache memory). A job that cannot take the lock retries with backoff, then fails with one log line and one Telegram alert. There is no manual review queue.</w:t>
      </w:r>
    </w:p>
    <w:p>
      <w:pPr>
        <w:spacing w:before="0" w:after="100"/>
      </w:pPr>
      <w:r>
        <w:rPr>
          <w:rFonts w:ascii="Calibri" w:hAnsi="Calibri" w:cs="Calibri"/>
          <w:b/>
          <w:sz w:val="21"/>
        </w:rPr>
        <w:t xml:space="preserve">Pre-flight gate (host jobs).</w:t>
      </w:r>
      <w:r>
        <w:rPr>
          <w:rFonts w:ascii="Calibri" w:hAnsi="Calibri" w:cs="Calibri"/>
          <w:sz w:val="21"/>
        </w:rPr>
        <w:t xml:space="preserve"> Before loading the model: pressure level 1 and free memory ≥ 40%; otherwise wait and retry for up to 15 minutes, then abort with a single alert. </w:t>
      </w:r>
      <w:r>
        <w:rPr>
          <w:rFonts w:ascii="Calibri" w:hAnsi="Calibri" w:cs="Calibri"/>
          <w:b/>
          <w:sz w:val="21"/>
        </w:rPr>
        <w:t xml:space="preserve">Release on finish:</w:t>
      </w:r>
      <w:r>
        <w:rPr>
          <w:rFonts w:ascii="Calibri" w:hAnsi="Calibri" w:cs="Calibri"/>
          <w:sz w:val="21"/>
        </w:rPr>
        <w:t xml:space="preserve"> the final call of a job sends keep_alive 0, returning ~7 GB immediately rather than after Ollama's five-minute default.</w:t>
      </w:r>
    </w:p>
    <w:tbl>
      <w:tblPr>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2520"/>
        <w:gridCol w:w="2520"/>
        <w:gridCol w:w="2520"/>
        <w:gridCol w:w="2520"/>
      </w:tblGrid>
      <w:tr>
        <w:tc>
          <w:tcPr>
            <w:tcW w:w="2520" w:type="dxa"/>
            <w:shd w:val="clear" w:color="auto" w:fill="F2F2F2"/>
          </w:tcPr>
          <w:p>
            <w:pPr>
              <w:spacing w:before="0" w:after="0"/>
            </w:pPr>
            <w:r>
              <w:rPr>
                <w:rFonts w:ascii="Calibri" w:hAnsi="Calibri" w:cs="Calibri"/>
                <w:b/>
                <w:sz w:val="20"/>
              </w:rPr>
              <w:t xml:space="preserve">Time (ET)</w:t>
            </w:r>
          </w:p>
        </w:tc>
        <w:tc>
          <w:tcPr>
            <w:tcW w:w="2520" w:type="dxa"/>
            <w:shd w:val="clear" w:color="auto" w:fill="F2F2F2"/>
          </w:tcPr>
          <w:p>
            <w:pPr>
              <w:spacing w:before="0" w:after="0"/>
            </w:pPr>
            <w:r>
              <w:rPr>
                <w:rFonts w:ascii="Calibri" w:hAnsi="Calibri" w:cs="Calibri"/>
                <w:b/>
                <w:sz w:val="20"/>
              </w:rPr>
              <w:t xml:space="preserve">Job</w:t>
            </w:r>
          </w:p>
        </w:tc>
        <w:tc>
          <w:tcPr>
            <w:tcW w:w="2520" w:type="dxa"/>
            <w:shd w:val="clear" w:color="auto" w:fill="F2F2F2"/>
          </w:tcPr>
          <w:p>
            <w:pPr>
              <w:spacing w:before="0" w:after="0"/>
            </w:pPr>
            <w:r>
              <w:rPr>
                <w:rFonts w:ascii="Calibri" w:hAnsi="Calibri" w:cs="Calibri"/>
                <w:b/>
                <w:sz w:val="20"/>
              </w:rPr>
              <w:t xml:space="preserve">Inference</w:t>
            </w:r>
          </w:p>
        </w:tc>
        <w:tc>
          <w:tcPr>
            <w:tcW w:w="2520" w:type="dxa"/>
            <w:shd w:val="clear" w:color="auto" w:fill="F2F2F2"/>
          </w:tcPr>
          <w:p>
            <w:pPr>
              <w:spacing w:before="0" w:after="0"/>
            </w:pPr>
            <w:r>
              <w:rPr>
                <w:rFonts w:ascii="Calibri" w:hAnsi="Calibri" w:cs="Calibri"/>
                <w:b/>
                <w:sz w:val="20"/>
              </w:rPr>
              <w:t xml:space="preserve">Change</w:t>
            </w:r>
          </w:p>
        </w:tc>
      </w:tr>
      <w:tr>
        <w:tc>
          <w:tcPr>
            <w:tcW w:w="2520" w:type="dxa"/>
          </w:tcPr>
          <w:p>
            <w:pPr>
              <w:spacing w:before="0" w:after="0"/>
            </w:pPr>
            <w:r>
              <w:rPr>
                <w:rFonts w:ascii="Calibri" w:hAnsi="Calibri" w:cs="Calibri"/>
                <w:sz w:val="20"/>
              </w:rPr>
              <w:t xml:space="preserve">01:00</w:t>
            </w:r>
          </w:p>
        </w:tc>
        <w:tc>
          <w:tcPr>
            <w:tcW w:w="2520" w:type="dxa"/>
          </w:tcPr>
          <w:p>
            <w:pPr>
              <w:spacing w:before="0" w:after="0"/>
            </w:pPr>
            <w:r>
              <w:rPr>
                <w:rFonts w:ascii="Calibri" w:hAnsi="Calibri" w:cs="Calibri"/>
                <w:sz w:val="20"/>
              </w:rPr>
              <w:t xml:space="preserve">Federal Register scrape</w:t>
            </w:r>
          </w:p>
        </w:tc>
        <w:tc>
          <w:tcPr>
            <w:tcW w:w="2520" w:type="dxa"/>
          </w:tcPr>
          <w:p>
            <w:pPr>
              <w:spacing w:before="0" w:after="0"/>
            </w:pPr>
            <w:r>
              <w:rPr>
                <w:rFonts w:ascii="Calibri" w:hAnsi="Calibri" w:cs="Calibri"/>
                <w:sz w:val="20"/>
              </w:rPr>
              <w:t xml:space="preserve">No</w:t>
            </w:r>
          </w:p>
        </w:tc>
        <w:tc>
          <w:tcPr>
            <w:tcW w:w="2520" w:type="dxa"/>
          </w:tcPr>
          <w:p>
            <w:pPr>
              <w:spacing w:before="0" w:after="0"/>
            </w:pPr>
            <w:r>
              <w:rPr>
                <w:rFonts w:ascii="Calibri" w:hAnsi="Calibri" w:cs="Calibri"/>
                <w:sz w:val="20"/>
              </w:rPr>
              <w:t xml:space="preserve">None</w:t>
            </w:r>
          </w:p>
        </w:tc>
      </w:tr>
      <w:tr>
        <w:tc>
          <w:tcPr>
            <w:tcW w:w="2520" w:type="dxa"/>
          </w:tcPr>
          <w:p>
            <w:pPr>
              <w:spacing w:before="0" w:after="0"/>
            </w:pPr>
            <w:r>
              <w:rPr>
                <w:rFonts w:ascii="Calibri" w:hAnsi="Calibri" w:cs="Calibri"/>
                <w:sz w:val="20"/>
              </w:rPr>
              <w:t xml:space="preserve">01:30</w:t>
            </w:r>
          </w:p>
        </w:tc>
        <w:tc>
          <w:tcPr>
            <w:tcW w:w="2520" w:type="dxa"/>
          </w:tcPr>
          <w:p>
            <w:pPr>
              <w:spacing w:before="0" w:after="0"/>
            </w:pPr>
            <w:r>
              <w:rPr>
                <w:rFonts w:ascii="Calibri" w:hAnsi="Calibri" w:cs="Calibri"/>
                <w:sz w:val="20"/>
              </w:rPr>
              <w:t xml:space="preserve">Database maintenance (F10): pre-create agent_actions partitions three months ahead; drop partitions past 90-day retention; if agent_actions_default holds rows, skip the overlapping create and log one ERROR</w:t>
            </w:r>
          </w:p>
        </w:tc>
        <w:tc>
          <w:tcPr>
            <w:tcW w:w="2520" w:type="dxa"/>
          </w:tcPr>
          <w:p>
            <w:pPr>
              <w:spacing w:before="0" w:after="0"/>
            </w:pPr>
            <w:r>
              <w:rPr>
                <w:rFonts w:ascii="Calibri" w:hAnsi="Calibri" w:cs="Calibri"/>
                <w:sz w:val="20"/>
              </w:rPr>
              <w:t xml:space="preserve">No</w:t>
            </w:r>
          </w:p>
        </w:tc>
        <w:tc>
          <w:tcPr>
            <w:tcW w:w="2520" w:type="dxa"/>
          </w:tcPr>
          <w:p>
            <w:pPr>
              <w:spacing w:before="0" w:after="0"/>
            </w:pPr>
            <w:r>
              <w:rPr>
                <w:rFonts w:ascii="Calibri" w:hAnsi="Calibri" w:cs="Calibri"/>
                <w:sz w:val="20"/>
              </w:rPr>
              <w:t xml:space="preserve">New — APScheduler in fastapi, idempotent, nightly</w:t>
            </w:r>
          </w:p>
        </w:tc>
      </w:tr>
      <w:tr>
        <w:tc>
          <w:tcPr>
            <w:tcW w:w="2520" w:type="dxa"/>
          </w:tcPr>
          <w:p>
            <w:pPr>
              <w:spacing w:before="0" w:after="0"/>
            </w:pPr>
            <w:r>
              <w:rPr>
                <w:rFonts w:ascii="Calibri" w:hAnsi="Calibri" w:cs="Calibri"/>
                <w:sz w:val="20"/>
              </w:rPr>
              <w:t xml:space="preserve">03:55</w:t>
            </w:r>
          </w:p>
        </w:tc>
        <w:tc>
          <w:tcPr>
            <w:tcW w:w="2520" w:type="dxa"/>
          </w:tcPr>
          <w:p>
            <w:pPr>
              <w:spacing w:before="0" w:after="0"/>
            </w:pPr>
            <w:r>
              <w:rPr>
                <w:rFonts w:ascii="Calibri" w:hAnsi="Calibri" w:cs="Calibri"/>
                <w:sz w:val="20"/>
              </w:rPr>
              <w:t xml:space="preserve">pmset wake</w:t>
            </w:r>
          </w:p>
        </w:tc>
        <w:tc>
          <w:tcPr>
            <w:tcW w:w="2520" w:type="dxa"/>
          </w:tcPr>
          <w:p>
            <w:pPr>
              <w:spacing w:before="0" w:after="0"/>
            </w:pPr>
            <w:r>
              <w:rPr>
                <w:rFonts w:ascii="Calibri" w:hAnsi="Calibri" w:cs="Calibri"/>
                <w:sz w:val="20"/>
              </w:rPr>
              <w:t xml:space="preserve">—</w:t>
            </w:r>
          </w:p>
        </w:tc>
        <w:tc>
          <w:tcPr>
            <w:tcW w:w="2520" w:type="dxa"/>
          </w:tcPr>
          <w:p>
            <w:pPr>
              <w:spacing w:before="0" w:after="0"/>
            </w:pPr>
            <w:r>
              <w:rPr>
                <w:rFonts w:ascii="Calibri" w:hAnsi="Calibri" w:cs="Calibri"/>
                <w:sz w:val="20"/>
              </w:rPr>
              <w:t xml:space="preserve">None (the only repeating wake)</w:t>
            </w:r>
          </w:p>
        </w:tc>
      </w:tr>
      <w:tr>
        <w:tc>
          <w:tcPr>
            <w:tcW w:w="2520" w:type="dxa"/>
          </w:tcPr>
          <w:p>
            <w:pPr>
              <w:spacing w:before="0" w:after="0"/>
            </w:pPr>
            <w:r>
              <w:rPr>
                <w:rFonts w:ascii="Calibri" w:hAnsi="Calibri" w:cs="Calibri"/>
                <w:sz w:val="20"/>
              </w:rPr>
              <w:t xml:space="preserve">04:00</w:t>
            </w:r>
          </w:p>
        </w:tc>
        <w:tc>
          <w:tcPr>
            <w:tcW w:w="2520" w:type="dxa"/>
          </w:tcPr>
          <w:p>
            <w:pPr>
              <w:spacing w:before="0" w:after="0"/>
            </w:pPr>
            <w:r>
              <w:rPr>
                <w:rFonts w:ascii="Calibri" w:hAnsi="Calibri" w:cs="Calibri"/>
                <w:sz w:val="20"/>
              </w:rPr>
              <w:t xml:space="preserve">Backup</w:t>
            </w:r>
          </w:p>
        </w:tc>
        <w:tc>
          <w:tcPr>
            <w:tcW w:w="2520" w:type="dxa"/>
          </w:tcPr>
          <w:p>
            <w:pPr>
              <w:spacing w:before="0" w:after="0"/>
            </w:pPr>
            <w:r>
              <w:rPr>
                <w:rFonts w:ascii="Calibri" w:hAnsi="Calibri" w:cs="Calibri"/>
                <w:sz w:val="20"/>
              </w:rPr>
              <w:t xml:space="preserve">No</w:t>
            </w:r>
          </w:p>
        </w:tc>
        <w:tc>
          <w:tcPr>
            <w:tcW w:w="2520" w:type="dxa"/>
          </w:tcPr>
          <w:p>
            <w:pPr>
              <w:spacing w:before="0" w:after="0"/>
            </w:pPr>
            <w:r>
              <w:rPr>
                <w:rFonts w:ascii="Calibri" w:hAnsi="Calibri" w:cs="Calibri"/>
                <w:sz w:val="20"/>
              </w:rPr>
              <w:t xml:space="preserve">None</w:t>
            </w:r>
          </w:p>
        </w:tc>
      </w:tr>
      <w:tr>
        <w:tc>
          <w:tcPr>
            <w:tcW w:w="2520" w:type="dxa"/>
          </w:tcPr>
          <w:p>
            <w:pPr>
              <w:spacing w:before="0" w:after="0"/>
            </w:pPr>
            <w:r>
              <w:rPr>
                <w:rFonts w:ascii="Calibri" w:hAnsi="Calibri" w:cs="Calibri"/>
                <w:sz w:val="20"/>
              </w:rPr>
              <w:t xml:space="preserve">Operator-initiated</w:t>
            </w:r>
          </w:p>
        </w:tc>
        <w:tc>
          <w:tcPr>
            <w:tcW w:w="2520" w:type="dxa"/>
          </w:tcPr>
          <w:p>
            <w:pPr>
              <w:spacing w:before="0" w:after="0"/>
            </w:pPr>
            <w:r>
              <w:rPr>
                <w:rFonts w:ascii="Calibri" w:hAnsi="Calibri" w:cs="Calibri"/>
                <w:sz w:val="20"/>
              </w:rPr>
              <w:t xml:space="preserve">Brief generation (--send, weekly)</w:t>
            </w:r>
          </w:p>
        </w:tc>
        <w:tc>
          <w:tcPr>
            <w:tcW w:w="2520" w:type="dxa"/>
          </w:tcPr>
          <w:p>
            <w:pPr>
              <w:spacing w:before="0" w:after="0"/>
            </w:pPr>
            <w:r>
              <w:rPr>
                <w:rFonts w:ascii="Calibri" w:hAnsi="Calibri" w:cs="Calibri"/>
                <w:sz w:val="20"/>
              </w:rPr>
              <w:t xml:space="preserve">Yes</w:t>
            </w:r>
          </w:p>
        </w:tc>
        <w:tc>
          <w:tcPr>
            <w:tcW w:w="2520" w:type="dxa"/>
          </w:tcPr>
          <w:p>
            <w:pPr>
              <w:spacing w:before="0" w:after="0"/>
            </w:pPr>
            <w:r>
              <w:rPr>
                <w:rFonts w:ascii="Calibri" w:hAnsi="Calibri" w:cs="Calibri"/>
                <w:sz w:val="20"/>
              </w:rPr>
              <w:t xml:space="preserve">Lock, gate, truncation guard</w:t>
            </w:r>
          </w:p>
        </w:tc>
      </w:tr>
      <w:tr>
        <w:tc>
          <w:tcPr>
            <w:tcW w:w="2520" w:type="dxa"/>
          </w:tcPr>
          <w:p>
            <w:pPr>
              <w:spacing w:before="0" w:after="0"/>
            </w:pPr>
            <w:r>
              <w:rPr>
                <w:rFonts w:ascii="Calibri" w:hAnsi="Calibri" w:cs="Calibri"/>
                <w:sz w:val="20"/>
              </w:rPr>
              <w:t xml:space="preserve">On demand</w:t>
            </w:r>
          </w:p>
        </w:tc>
        <w:tc>
          <w:tcPr>
            <w:tcW w:w="2520" w:type="dxa"/>
          </w:tcPr>
          <w:p>
            <w:pPr>
              <w:spacing w:before="0" w:after="0"/>
            </w:pPr>
            <w:r>
              <w:rPr>
                <w:rFonts w:ascii="Calibri" w:hAnsi="Calibri" w:cs="Calibri"/>
                <w:sz w:val="20"/>
              </w:rPr>
              <w:t xml:space="preserve">/agent</w:t>
            </w:r>
          </w:p>
        </w:tc>
        <w:tc>
          <w:tcPr>
            <w:tcW w:w="2520" w:type="dxa"/>
          </w:tcPr>
          <w:p>
            <w:pPr>
              <w:spacing w:before="0" w:after="0"/>
            </w:pPr>
            <w:r>
              <w:rPr>
                <w:rFonts w:ascii="Calibri" w:hAnsi="Calibri" w:cs="Calibri"/>
                <w:sz w:val="20"/>
              </w:rPr>
              <w:t xml:space="preserve">Yes</w:t>
            </w:r>
          </w:p>
        </w:tc>
        <w:tc>
          <w:tcPr>
            <w:tcW w:w="2520" w:type="dxa"/>
          </w:tcPr>
          <w:p>
            <w:pPr>
              <w:spacing w:before="0" w:after="0"/>
            </w:pPr>
            <w:r>
              <w:rPr>
                <w:rFonts w:ascii="Calibri" w:hAnsi="Calibri" w:cs="Calibri"/>
                <w:sz w:val="20"/>
              </w:rPr>
              <w:t xml:space="preserve">Lock</w:t>
            </w:r>
          </w:p>
        </w:tc>
      </w:tr>
    </w:tbl>
    <w:p/>
    <w:p>
      <w:pPr>
        <w:spacing w:before="0" w:after="100"/>
      </w:pPr>
      <w:r>
        <w:rPr>
          <w:rFonts w:ascii="Calibri" w:hAnsi="Calibri" w:cs="Calibri"/>
          <w:sz w:val="21"/>
        </w:rPr>
        <w:t xml:space="preserve">Unattended scheduled brief generation is out of scope. It belongs with the HARD_FAIL_ON_UNVERIFIED decision.</w:t>
      </w:r>
    </w:p>
    <w:p>
      <w:pPr>
        <w:spacing w:before="240" w:after="80"/>
      </w:pPr>
      <w:r>
        <w:rPr>
          <w:rFonts w:ascii="Calibri" w:hAnsi="Calibri" w:cs="Calibri"/>
          <w:b/>
          <w:sz w:val="26"/>
        </w:rPr>
        <w:t xml:space="preserve">7. Local versus Claude</w:t>
      </w:r>
    </w:p>
    <w:tbl>
      <w:tblPr>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2520"/>
        <w:gridCol w:w="2520"/>
        <w:gridCol w:w="2520"/>
        <w:gridCol w:w="2520"/>
      </w:tblGrid>
      <w:tr>
        <w:tc>
          <w:tcPr>
            <w:tcW w:w="2520" w:type="dxa"/>
            <w:shd w:val="clear" w:color="auto" w:fill="F2F2F2"/>
          </w:tcPr>
          <w:p>
            <w:pPr>
              <w:spacing w:before="0" w:after="0"/>
            </w:pPr>
            <w:r>
              <w:rPr>
                <w:rFonts w:ascii="Calibri" w:hAnsi="Calibri" w:cs="Calibri"/>
                <w:b/>
                <w:sz w:val="20"/>
              </w:rPr>
              <w:t xml:space="preserve">Data class</w:t>
            </w:r>
          </w:p>
        </w:tc>
        <w:tc>
          <w:tcPr>
            <w:tcW w:w="2520" w:type="dxa"/>
            <w:shd w:val="clear" w:color="auto" w:fill="F2F2F2"/>
          </w:tcPr>
          <w:p>
            <w:pPr>
              <w:spacing w:before="0" w:after="0"/>
            </w:pPr>
            <w:r>
              <w:rPr>
                <w:rFonts w:ascii="Calibri" w:hAnsi="Calibri" w:cs="Calibri"/>
                <w:b/>
                <w:sz w:val="20"/>
              </w:rPr>
              <w:t xml:space="preserve">Local (Ollama)</w:t>
            </w:r>
          </w:p>
        </w:tc>
        <w:tc>
          <w:tcPr>
            <w:tcW w:w="2520" w:type="dxa"/>
            <w:shd w:val="clear" w:color="auto" w:fill="F2F2F2"/>
          </w:tcPr>
          <w:p>
            <w:pPr>
              <w:spacing w:before="0" w:after="0"/>
            </w:pPr>
            <w:r>
              <w:rPr>
                <w:rFonts w:ascii="Calibri" w:hAnsi="Calibri" w:cs="Calibri"/>
                <w:b/>
                <w:sz w:val="20"/>
              </w:rPr>
              <w:t xml:space="preserve">Claude API</w:t>
            </w:r>
          </w:p>
        </w:tc>
        <w:tc>
          <w:tcPr>
            <w:tcW w:w="2520" w:type="dxa"/>
            <w:shd w:val="clear" w:color="auto" w:fill="F2F2F2"/>
          </w:tcPr>
          <w:p>
            <w:pPr>
              <w:spacing w:before="0" w:after="0"/>
            </w:pPr>
            <w:r>
              <w:rPr>
                <w:rFonts w:ascii="Calibri" w:hAnsi="Calibri" w:cs="Calibri"/>
                <w:b/>
                <w:sz w:val="20"/>
              </w:rPr>
              <w:t xml:space="preserve">Notes</w:t>
            </w:r>
          </w:p>
        </w:tc>
      </w:tr>
      <w:tr>
        <w:tc>
          <w:tcPr>
            <w:tcW w:w="2520" w:type="dxa"/>
          </w:tcPr>
          <w:p>
            <w:pPr>
              <w:spacing w:before="0" w:after="0"/>
            </w:pPr>
            <w:r>
              <w:rPr>
                <w:rFonts w:ascii="Calibri" w:hAnsi="Calibri" w:cs="Calibri"/>
                <w:sz w:val="20"/>
              </w:rPr>
              <w:t xml:space="preserve">Maine DHHS work product</w:t>
            </w:r>
          </w:p>
        </w:tc>
        <w:tc>
          <w:tcPr>
            <w:tcW w:w="2520" w:type="dxa"/>
          </w:tcPr>
          <w:p>
            <w:pPr>
              <w:spacing w:before="0" w:after="0"/>
            </w:pPr>
            <w:r>
              <w:rPr>
                <w:rFonts w:ascii="Calibri" w:hAnsi="Calibri" w:cs="Calibri"/>
                <w:sz w:val="20"/>
              </w:rPr>
              <w:t xml:space="preserve">Prohibited</w:t>
            </w:r>
          </w:p>
        </w:tc>
        <w:tc>
          <w:tcPr>
            <w:tcW w:w="2520" w:type="dxa"/>
          </w:tcPr>
          <w:p>
            <w:pPr>
              <w:spacing w:before="0" w:after="0"/>
            </w:pPr>
            <w:r>
              <w:rPr>
                <w:rFonts w:ascii="Calibri" w:hAnsi="Calibri" w:cs="Calibri"/>
                <w:sz w:val="20"/>
              </w:rPr>
              <w:t xml:space="preserve">Prohibited</w:t>
            </w:r>
          </w:p>
        </w:tc>
        <w:tc>
          <w:tcPr>
            <w:tcW w:w="2520" w:type="dxa"/>
          </w:tcPr>
          <w:p>
            <w:pPr>
              <w:spacing w:before="0" w:after="0"/>
            </w:pPr>
            <w:r>
              <w:rPr>
                <w:rFonts w:ascii="Calibri" w:hAnsi="Calibri" w:cs="Calibri"/>
                <w:sz w:val="20"/>
              </w:rPr>
              <w:t xml:space="preserve">ADR-043 §5 — never on this host</w:t>
            </w:r>
          </w:p>
        </w:tc>
      </w:tr>
      <w:tr>
        <w:tc>
          <w:tcPr>
            <w:tcW w:w="2520" w:type="dxa"/>
          </w:tcPr>
          <w:p>
            <w:pPr>
              <w:spacing w:before="0" w:after="0"/>
            </w:pPr>
            <w:r>
              <w:rPr>
                <w:rFonts w:ascii="Calibri" w:hAnsi="Calibri" w:cs="Calibri"/>
                <w:sz w:val="20"/>
              </w:rPr>
              <w:t xml:space="preserve">Operator's confidential material (finances, health, family, IP)</w:t>
            </w:r>
          </w:p>
        </w:tc>
        <w:tc>
          <w:tcPr>
            <w:tcW w:w="2520" w:type="dxa"/>
          </w:tcPr>
          <w:p>
            <w:pPr>
              <w:spacing w:before="0" w:after="0"/>
            </w:pPr>
            <w:r>
              <w:rPr>
                <w:rFonts w:ascii="Calibri" w:hAnsi="Calibri" w:cs="Calibri"/>
                <w:sz w:val="20"/>
              </w:rPr>
              <w:t xml:space="preserve">Required</w:t>
            </w:r>
          </w:p>
        </w:tc>
        <w:tc>
          <w:tcPr>
            <w:tcW w:w="2520" w:type="dxa"/>
          </w:tcPr>
          <w:p>
            <w:pPr>
              <w:spacing w:before="0" w:after="0"/>
            </w:pPr>
            <w:r>
              <w:rPr>
                <w:rFonts w:ascii="Calibri" w:hAnsi="Calibri" w:cs="Calibri"/>
                <w:sz w:val="20"/>
              </w:rPr>
              <w:t xml:space="preserve">Prohibited for any automated OpenClaw path</w:t>
            </w:r>
          </w:p>
        </w:tc>
        <w:tc>
          <w:tcPr>
            <w:tcW w:w="2520" w:type="dxa"/>
          </w:tcPr>
          <w:p>
            <w:pPr>
              <w:spacing w:before="0" w:after="0"/>
            </w:pPr>
            <w:r>
              <w:rPr>
                <w:rFonts w:ascii="Calibri" w:hAnsi="Calibri" w:cs="Calibri"/>
                <w:sz w:val="20"/>
              </w:rPr>
              <w:t xml:space="preserve">ADR-043 §5, §7</w:t>
            </w:r>
          </w:p>
        </w:tc>
      </w:tr>
      <w:tr>
        <w:tc>
          <w:tcPr>
            <w:tcW w:w="2520" w:type="dxa"/>
          </w:tcPr>
          <w:p>
            <w:pPr>
              <w:spacing w:before="0" w:after="0"/>
            </w:pPr>
            <w:r>
              <w:rPr>
                <w:rFonts w:ascii="Calibri" w:hAnsi="Calibri" w:cs="Calibri"/>
                <w:sz w:val="20"/>
              </w:rPr>
              <w:t xml:space="preserve">Public (Federal Register content, briefs)</w:t>
            </w:r>
          </w:p>
        </w:tc>
        <w:tc>
          <w:tcPr>
            <w:tcW w:w="2520" w:type="dxa"/>
          </w:tcPr>
          <w:p>
            <w:pPr>
              <w:spacing w:before="0" w:after="0"/>
            </w:pPr>
            <w:r>
              <w:rPr>
                <w:rFonts w:ascii="Calibri" w:hAnsi="Calibri" w:cs="Calibri"/>
                <w:sz w:val="20"/>
              </w:rPr>
              <w:t xml:space="preserve">Default</w:t>
            </w:r>
          </w:p>
        </w:tc>
        <w:tc>
          <w:tcPr>
            <w:tcW w:w="2520" w:type="dxa"/>
          </w:tcPr>
          <w:p>
            <w:pPr>
              <w:spacing w:before="0" w:after="0"/>
            </w:pPr>
            <w:r>
              <w:rPr>
                <w:rFonts w:ascii="Calibri" w:hAnsi="Calibri" w:cs="Calibri"/>
                <w:sz w:val="20"/>
              </w:rPr>
              <w:t xml:space="preserve">Permitted as explicit escalation</w:t>
            </w:r>
          </w:p>
        </w:tc>
        <w:tc>
          <w:tcPr>
            <w:tcW w:w="2520" w:type="dxa"/>
          </w:tcPr>
          <w:p>
            <w:pPr>
              <w:spacing w:before="0" w:after="0"/>
            </w:pPr>
            <w:r>
              <w:rPr>
                <w:rFonts w:ascii="Calibri" w:hAnsi="Calibri" w:cs="Calibri"/>
                <w:sz w:val="20"/>
              </w:rPr>
              <w:t xml:space="preserve">Cost gate ADR-028 ($1.00)</w:t>
            </w:r>
          </w:p>
        </w:tc>
      </w:tr>
      <w:tr>
        <w:tc>
          <w:tcPr>
            <w:tcW w:w="2520" w:type="dxa"/>
          </w:tcPr>
          <w:p>
            <w:pPr>
              <w:spacing w:before="0" w:after="0"/>
            </w:pPr>
            <w:r>
              <w:rPr>
                <w:rFonts w:ascii="Calibri" w:hAnsi="Calibri" w:cs="Calibri"/>
                <w:sz w:val="20"/>
              </w:rPr>
              <w:t xml:space="preserve">Development, governance, coding</w:t>
            </w:r>
          </w:p>
        </w:tc>
        <w:tc>
          <w:tcPr>
            <w:tcW w:w="2520" w:type="dxa"/>
          </w:tcPr>
          <w:p>
            <w:pPr>
              <w:spacing w:before="0" w:after="0"/>
            </w:pPr>
            <w:r>
              <w:rPr>
                <w:rFonts w:ascii="Calibri" w:hAnsi="Calibri" w:cs="Calibri"/>
                <w:sz w:val="20"/>
              </w:rPr>
              <w:t xml:space="preserve">—</w:t>
            </w:r>
          </w:p>
        </w:tc>
        <w:tc>
          <w:tcPr>
            <w:tcW w:w="2520" w:type="dxa"/>
          </w:tcPr>
          <w:p>
            <w:pPr>
              <w:spacing w:before="0" w:after="0"/>
            </w:pPr>
            <w:r>
              <w:rPr>
                <w:rFonts w:ascii="Calibri" w:hAnsi="Calibri" w:cs="Calibri"/>
                <w:sz w:val="20"/>
              </w:rPr>
              <w:t xml:space="preserve">—</w:t>
            </w:r>
          </w:p>
        </w:tc>
        <w:tc>
          <w:tcPr>
            <w:tcW w:w="2520" w:type="dxa"/>
          </w:tcPr>
          <w:p>
            <w:pPr>
              <w:spacing w:before="0" w:after="0"/>
            </w:pPr>
            <w:r>
              <w:rPr>
                <w:rFonts w:ascii="Calibri" w:hAnsi="Calibri" w:cs="Calibri"/>
                <w:sz w:val="20"/>
              </w:rPr>
              <w:t xml:space="preserve">Claude Code / claude.ai under the subscription, outside OpenClaw's runtime</w:t>
            </w:r>
          </w:p>
        </w:tc>
      </w:tr>
    </w:tbl>
    <w:p/>
    <w:p>
      <w:pPr>
        <w:spacing w:before="0" w:after="100"/>
      </w:pPr>
      <w:r>
        <w:rPr>
          <w:rFonts w:ascii="Calibri" w:hAnsi="Calibri" w:cs="Calibri"/>
          <w:b/>
          <w:sz w:val="21"/>
        </w:rPr>
        <w:t xml:space="preserve">Escalation is explicit, never automatic.</w:t>
      </w:r>
      <w:r>
        <w:rPr>
          <w:rFonts w:ascii="Calibri" w:hAnsi="Calibri" w:cs="Calibri"/>
          <w:sz w:val="21"/>
        </w:rPr>
        <w:t xml:space="preserve"> The only triggers are a task exceeding the local context ceiling, or an operator request. The ADR-021 stub's 0.85 / 0.90 confidence thresholds are retired: they are unverified stub content, were never implemented, and local models do not produce calibrated confidence to compare against.</w:t>
      </w:r>
    </w:p>
    <w:p>
      <w:pPr>
        <w:spacing w:before="0" w:after="100"/>
      </w:pPr>
      <w:r>
        <w:rPr>
          <w:rFonts w:ascii="Calibri" w:hAnsi="Calibri" w:cs="Calibri"/>
          <w:b/>
          <w:sz w:val="21"/>
        </w:rPr>
        <w:t xml:space="preserve">The API path remains disabled.</w:t>
      </w:r>
      <w:r>
        <w:rPr>
          <w:rFonts w:ascii="Calibri" w:hAnsi="Calibri" w:cs="Calibri"/>
          <w:sz w:val="21"/>
        </w:rPr>
        <w:t xml:space="preserve"> It is broken (F11), keyless, and nothing needs it. Until a concrete need arises, call_openrouter() returns an explicit "cloud path disabled (ADR-047)" error. When rebuilt, it targets the Anthropic API directly rather than OpenRouter — one data processor instead of two, key held in Keychain — with Tier 3 claude-sonnet-5-5 and Tier 4 claude-opus-5-5 (operator-gated). Pricing is verified at build time and is not recorded here.</w:t>
      </w:r>
    </w:p>
    <w:p>
      <w:pPr>
        <w:spacing w:before="0" w:after="100"/>
      </w:pPr>
      <w:r>
        <w:rPr>
          <w:rFonts w:ascii="Calibri" w:hAnsi="Calibri" w:cs="Calibri"/>
          <w:b/>
          <w:sz w:val="21"/>
        </w:rPr>
        <w:t xml:space="preserve">Correction to ADR-043 §7:</w:t>
      </w:r>
      <w:r>
        <w:rPr>
          <w:rFonts w:ascii="Calibri" w:hAnsi="Calibri" w:cs="Calibri"/>
          <w:sz w:val="21"/>
        </w:rPr>
        <w:t xml:space="preserve"> a Claude Pro subscription does not include API usage; the API is billed separately.</w:t>
      </w:r>
    </w:p>
    <w:p>
      <w:pPr>
        <w:spacing w:before="240" w:after="80"/>
      </w:pPr>
      <w:r>
        <w:rPr>
          <w:rFonts w:ascii="Calibri" w:hAnsi="Calibri" w:cs="Calibri"/>
          <w:b/>
          <w:sz w:val="26"/>
        </w:rPr>
        <w:t xml:space="preserve">8. Tier Labels (F9) and Monitoring Thresholds (F3)</w:t>
      </w:r>
    </w:p>
    <w:p>
      <w:pPr>
        <w:spacing w:before="0" w:after="100"/>
      </w:pPr>
      <w:r>
        <w:rPr>
          <w:rFonts w:ascii="Calibri" w:hAnsi="Calibri" w:cs="Calibri"/>
          <w:sz w:val="21"/>
        </w:rPr>
        <w:t xml:space="preserve">Tier integers are unchanged (the model_tier column stores integers, so no migration is required); only labels change. model_name continues to record the actual model per action.</w:t>
      </w:r>
    </w:p>
    <w:tbl>
      <w:tblPr>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3360"/>
        <w:gridCol w:w="3360"/>
        <w:gridCol w:w="3360"/>
      </w:tblGrid>
      <w:tr>
        <w:tc>
          <w:tcPr>
            <w:tcW w:w="3360" w:type="dxa"/>
            <w:shd w:val="clear" w:color="auto" w:fill="F2F2F2"/>
          </w:tcPr>
          <w:p>
            <w:pPr>
              <w:spacing w:before="0" w:after="0"/>
            </w:pPr>
            <w:r>
              <w:rPr>
                <w:rFonts w:ascii="Calibri" w:hAnsi="Calibri" w:cs="Calibri"/>
                <w:b/>
                <w:sz w:val="20"/>
              </w:rPr>
              <w:t xml:space="preserve">Tier</w:t>
            </w:r>
          </w:p>
        </w:tc>
        <w:tc>
          <w:tcPr>
            <w:tcW w:w="3360" w:type="dxa"/>
            <w:shd w:val="clear" w:color="auto" w:fill="F2F2F2"/>
          </w:tcPr>
          <w:p>
            <w:pPr>
              <w:spacing w:before="0" w:after="0"/>
            </w:pPr>
            <w:r>
              <w:rPr>
                <w:rFonts w:ascii="Calibri" w:hAnsi="Calibri" w:cs="Calibri"/>
                <w:b/>
                <w:sz w:val="20"/>
              </w:rPr>
              <w:t xml:space="preserve">Former label</w:t>
            </w:r>
          </w:p>
        </w:tc>
        <w:tc>
          <w:tcPr>
            <w:tcW w:w="3360" w:type="dxa"/>
            <w:shd w:val="clear" w:color="auto" w:fill="F2F2F2"/>
          </w:tcPr>
          <w:p>
            <w:pPr>
              <w:spacing w:before="0" w:after="0"/>
            </w:pPr>
            <w:r>
              <w:rPr>
                <w:rFonts w:ascii="Calibri" w:hAnsi="Calibri" w:cs="Calibri"/>
                <w:b/>
                <w:sz w:val="20"/>
              </w:rPr>
              <w:t xml:space="preserve">Definition</w:t>
            </w:r>
          </w:p>
        </w:tc>
      </w:tr>
      <w:tr>
        <w:tc>
          <w:tcPr>
            <w:tcW w:w="3360" w:type="dxa"/>
          </w:tcPr>
          <w:p>
            <w:pPr>
              <w:spacing w:before="0" w:after="0"/>
            </w:pPr>
            <w:r>
              <w:rPr>
                <w:rFonts w:ascii="Calibri" w:hAnsi="Calibri" w:cs="Calibri"/>
                <w:sz w:val="20"/>
              </w:rPr>
              <w:t xml:space="preserve">1</w:t>
            </w:r>
          </w:p>
        </w:tc>
        <w:tc>
          <w:tcPr>
            <w:tcW w:w="3360" w:type="dxa"/>
          </w:tcPr>
          <w:p>
            <w:pPr>
              <w:spacing w:before="0" w:after="0"/>
            </w:pPr>
            <w:r>
              <w:rPr>
                <w:rFonts w:ascii="Calibri" w:hAnsi="Calibri" w:cs="Calibri"/>
                <w:sz w:val="20"/>
              </w:rPr>
              <w:t xml:space="preserve">Local 7B</w:t>
            </w:r>
          </w:p>
        </w:tc>
        <w:tc>
          <w:tcPr>
            <w:tcW w:w="3360" w:type="dxa"/>
          </w:tcPr>
          <w:p>
            <w:pPr>
              <w:spacing w:before="0" w:after="0"/>
            </w:pPr>
            <w:r>
              <w:rPr>
                <w:rFonts w:ascii="Calibri" w:hAnsi="Calibri" w:cs="Calibri"/>
                <w:sz w:val="20"/>
              </w:rPr>
              <w:t xml:space="preserve">Local — reserved, unassigned</w:t>
            </w:r>
          </w:p>
        </w:tc>
      </w:tr>
      <w:tr>
        <w:tc>
          <w:tcPr>
            <w:tcW w:w="3360" w:type="dxa"/>
          </w:tcPr>
          <w:p>
            <w:pPr>
              <w:spacing w:before="0" w:after="0"/>
            </w:pPr>
            <w:r>
              <w:rPr>
                <w:rFonts w:ascii="Calibri" w:hAnsi="Calibri" w:cs="Calibri"/>
                <w:sz w:val="20"/>
              </w:rPr>
              <w:t xml:space="preserve">2</w:t>
            </w:r>
          </w:p>
        </w:tc>
        <w:tc>
          <w:tcPr>
            <w:tcW w:w="3360" w:type="dxa"/>
          </w:tcPr>
          <w:p>
            <w:pPr>
              <w:spacing w:before="0" w:after="0"/>
            </w:pPr>
            <w:r>
              <w:rPr>
                <w:rFonts w:ascii="Calibri" w:hAnsi="Calibri" w:cs="Calibri"/>
                <w:sz w:val="20"/>
              </w:rPr>
              <w:t xml:space="preserve">Local 14B / 32B</w:t>
            </w:r>
          </w:p>
        </w:tc>
        <w:tc>
          <w:tcPr>
            <w:tcW w:w="3360" w:type="dxa"/>
          </w:tcPr>
          <w:p>
            <w:pPr>
              <w:spacing w:before="0" w:after="0"/>
            </w:pPr>
            <w:r>
              <w:rPr>
                <w:rFonts w:ascii="Calibri" w:hAnsi="Calibri" w:cs="Calibri"/>
                <w:sz w:val="20"/>
              </w:rPr>
              <w:t xml:space="preserve">Local — the single deployed model</w:t>
            </w:r>
          </w:p>
        </w:tc>
      </w:tr>
      <w:tr>
        <w:tc>
          <w:tcPr>
            <w:tcW w:w="3360" w:type="dxa"/>
          </w:tcPr>
          <w:p>
            <w:pPr>
              <w:spacing w:before="0" w:after="0"/>
            </w:pPr>
            <w:r>
              <w:rPr>
                <w:rFonts w:ascii="Calibri" w:hAnsi="Calibri" w:cs="Calibri"/>
                <w:sz w:val="20"/>
              </w:rPr>
              <w:t xml:space="preserve">3</w:t>
            </w:r>
          </w:p>
        </w:tc>
        <w:tc>
          <w:tcPr>
            <w:tcW w:w="3360" w:type="dxa"/>
          </w:tcPr>
          <w:p>
            <w:pPr>
              <w:spacing w:before="0" w:after="0"/>
            </w:pPr>
            <w:r>
              <w:rPr>
                <w:rFonts w:ascii="Calibri" w:hAnsi="Calibri" w:cs="Calibri"/>
                <w:sz w:val="20"/>
              </w:rPr>
              <w:t xml:space="preserve">Sonnet via OpenRouter</w:t>
            </w:r>
          </w:p>
        </w:tc>
        <w:tc>
          <w:tcPr>
            <w:tcW w:w="3360" w:type="dxa"/>
          </w:tcPr>
          <w:p>
            <w:pPr>
              <w:spacing w:before="0" w:after="0"/>
            </w:pPr>
            <w:r>
              <w:rPr>
                <w:rFonts w:ascii="Calibri" w:hAnsi="Calibri" w:cs="Calibri"/>
                <w:sz w:val="20"/>
              </w:rPr>
              <w:t xml:space="preserve">Claude API standard — disabled until built</w:t>
            </w:r>
          </w:p>
        </w:tc>
      </w:tr>
      <w:tr>
        <w:tc>
          <w:tcPr>
            <w:tcW w:w="3360" w:type="dxa"/>
          </w:tcPr>
          <w:p>
            <w:pPr>
              <w:spacing w:before="0" w:after="0"/>
            </w:pPr>
            <w:r>
              <w:rPr>
                <w:rFonts w:ascii="Calibri" w:hAnsi="Calibri" w:cs="Calibri"/>
                <w:sz w:val="20"/>
              </w:rPr>
              <w:t xml:space="preserve">4</w:t>
            </w:r>
          </w:p>
        </w:tc>
        <w:tc>
          <w:tcPr>
            <w:tcW w:w="3360" w:type="dxa"/>
          </w:tcPr>
          <w:p>
            <w:pPr>
              <w:spacing w:before="0" w:after="0"/>
            </w:pPr>
            <w:r>
              <w:rPr>
                <w:rFonts w:ascii="Calibri" w:hAnsi="Calibri" w:cs="Calibri"/>
                <w:sz w:val="20"/>
              </w:rPr>
              <w:t xml:space="preserve">Opus (hard-blocked)</w:t>
            </w:r>
          </w:p>
        </w:tc>
        <w:tc>
          <w:tcPr>
            <w:tcW w:w="3360" w:type="dxa"/>
          </w:tcPr>
          <w:p>
            <w:pPr>
              <w:spacing w:before="0" w:after="0"/>
            </w:pPr>
            <w:r>
              <w:rPr>
                <w:rFonts w:ascii="Calibri" w:hAnsi="Calibri" w:cs="Calibri"/>
                <w:sz w:val="20"/>
              </w:rPr>
              <w:t xml:space="preserve">Claude API top — operator-gated, disabled until built</w:t>
            </w:r>
          </w:p>
        </w:tc>
      </w:tr>
    </w:tbl>
    <w:p/>
    <w:p>
      <w:pPr>
        <w:spacing w:before="0" w:after="100"/>
      </w:pPr>
      <w:r>
        <w:rPr>
          <w:rFonts w:ascii="Calibri" w:hAnsi="Calibri" w:cs="Calibri"/>
          <w:sz w:val="21"/>
        </w:rPr>
        <w:t xml:space="preserve">Files: app/models.py, app/llm.py docstrings, schema.sql comments, federal_policy_brief_DECISIONS.md.</w:t>
      </w:r>
    </w:p>
    <w:p>
      <w:pPr>
        <w:spacing w:before="0" w:after="100"/>
      </w:pPr>
      <w:r>
        <w:rPr>
          <w:rFonts w:ascii="Calibri" w:hAnsi="Calibri" w:cs="Calibri"/>
          <w:sz w:val="21"/>
        </w:rPr>
        <w:t xml:space="preserve">ADR-033's memory thresholds fail in both directions on this host: 28 / 30 GB can never fire, and "any swap &gt; 0" fires permanently. Replacement:</w:t>
      </w:r>
    </w:p>
    <w:tbl>
      <w:tblPr>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2822"/>
        <w:gridCol w:w="7258"/>
      </w:tblGrid>
      <w:tr>
        <w:tc>
          <w:tcPr>
            <w:tcW w:w="2822" w:type="dxa"/>
            <w:shd w:val="clear" w:color="auto" w:fill="F2F2F2"/>
          </w:tcPr>
          <w:p>
            <w:pPr>
              <w:spacing w:before="0" w:after="0"/>
            </w:pPr>
            <w:r>
              <w:rPr>
                <w:rFonts w:ascii="Calibri" w:hAnsi="Calibri" w:cs="Calibri"/>
                <w:b/>
                <w:sz w:val="20"/>
              </w:rPr>
              <w:t xml:space="preserve">State</w:t>
            </w:r>
          </w:p>
        </w:tc>
        <w:tc>
          <w:tcPr>
            <w:tcW w:w="7258" w:type="dxa"/>
            <w:shd w:val="clear" w:color="auto" w:fill="F2F2F2"/>
          </w:tcPr>
          <w:p>
            <w:pPr>
              <w:spacing w:before="0" w:after="0"/>
            </w:pPr>
            <w:r>
              <w:rPr>
                <w:rFonts w:ascii="Calibri" w:hAnsi="Calibri" w:cs="Calibri"/>
                <w:b/>
                <w:sz w:val="20"/>
              </w:rPr>
              <w:t xml:space="preserve">Condition</w:t>
            </w:r>
          </w:p>
        </w:tc>
      </w:tr>
      <w:tr>
        <w:tc>
          <w:tcPr>
            <w:tcW w:w="2822" w:type="dxa"/>
          </w:tcPr>
          <w:p>
            <w:pPr>
              <w:spacing w:before="0" w:after="0"/>
            </w:pPr>
            <w:r>
              <w:rPr>
                <w:rFonts w:ascii="Calibri" w:hAnsi="Calibri" w:cs="Calibri"/>
                <w:sz w:val="20"/>
              </w:rPr>
              <w:t xml:space="preserve">Green</w:t>
            </w:r>
          </w:p>
        </w:tc>
        <w:tc>
          <w:tcPr>
            <w:tcW w:w="7258" w:type="dxa"/>
          </w:tcPr>
          <w:p>
            <w:pPr>
              <w:spacing w:before="0" w:after="0"/>
            </w:pPr>
            <w:r>
              <w:rPr>
                <w:rFonts w:ascii="Calibri" w:hAnsi="Calibri" w:cs="Calibri"/>
                <w:sz w:val="20"/>
              </w:rPr>
              <w:t xml:space="preserve">Pressure level 1 and free ≥ 25%</w:t>
            </w:r>
          </w:p>
        </w:tc>
      </w:tr>
      <w:tr>
        <w:tc>
          <w:tcPr>
            <w:tcW w:w="2822" w:type="dxa"/>
          </w:tcPr>
          <w:p>
            <w:pPr>
              <w:spacing w:before="0" w:after="0"/>
            </w:pPr>
            <w:r>
              <w:rPr>
                <w:rFonts w:ascii="Calibri" w:hAnsi="Calibri" w:cs="Calibri"/>
                <w:sz w:val="20"/>
              </w:rPr>
              <w:t xml:space="preserve">Yellow</w:t>
            </w:r>
          </w:p>
        </w:tc>
        <w:tc>
          <w:tcPr>
            <w:tcW w:w="7258" w:type="dxa"/>
          </w:tcPr>
          <w:p>
            <w:pPr>
              <w:spacing w:before="0" w:after="0"/>
            </w:pPr>
            <w:r>
              <w:rPr>
                <w:rFonts w:ascii="Calibri" w:hAnsi="Calibri" w:cs="Calibri"/>
                <w:sz w:val="20"/>
              </w:rPr>
              <w:t xml:space="preserve">Pressure level 2 (warn), or free &lt; 25%, or swap grows &gt; 1 GB during one inference job</w:t>
            </w:r>
          </w:p>
        </w:tc>
      </w:tr>
      <w:tr>
        <w:tc>
          <w:tcPr>
            <w:tcW w:w="2822" w:type="dxa"/>
          </w:tcPr>
          <w:p>
            <w:pPr>
              <w:spacing w:before="0" w:after="0"/>
            </w:pPr>
            <w:r>
              <w:rPr>
                <w:rFonts w:ascii="Calibri" w:hAnsi="Calibri" w:cs="Calibri"/>
                <w:sz w:val="20"/>
              </w:rPr>
              <w:t xml:space="preserve">Red</w:t>
            </w:r>
          </w:p>
        </w:tc>
        <w:tc>
          <w:tcPr>
            <w:tcW w:w="7258" w:type="dxa"/>
          </w:tcPr>
          <w:p>
            <w:pPr>
              <w:spacing w:before="0" w:after="0"/>
            </w:pPr>
            <w:r>
              <w:rPr>
                <w:rFonts w:ascii="Calibri" w:hAnsi="Calibri" w:cs="Calibri"/>
                <w:sz w:val="20"/>
              </w:rPr>
              <w:t xml:space="preserve">Pressure level 4 (critical), or swap free &lt; 512 MB</w:t>
            </w:r>
          </w:p>
        </w:tc>
      </w:tr>
    </w:tbl>
    <w:p/>
    <w:p>
      <w:pPr>
        <w:spacing w:before="0" w:after="100"/>
      </w:pPr>
      <w:r>
        <w:rPr>
          <w:rFonts w:ascii="Calibri" w:hAnsi="Calibri" w:cs="Calibri"/>
          <w:sz w:val="21"/>
        </w:rPr>
        <w:t xml:space="preserve">Amended September 29, 2026 (Entry #048): pressure level 2 added to Yellow. The first live v9 run ended at level 2 with free memory at 35% and swap growth of 908 MB, and was reported Green because level 2 was unmapped.</w:t>
      </w:r>
    </w:p>
    <w:p>
      <w:pPr>
        <w:spacing w:before="0" w:after="100"/>
      </w:pPr>
      <w:r>
        <w:rPr>
          <w:rFonts w:ascii="Calibri" w:hAnsi="Calibri" w:cs="Calibri"/>
          <w:sz w:val="21"/>
        </w:rPr>
        <w:t xml:space="preserve">With ADR-034 deferred there is no collector, so these are evaluated where inference runs — in the pre-flight gate and as before/after log lines for each job — and as a startup health-check line in CURRENT_STATE.md. ADR-033's "32B model at 18–20 GB" is replaced with the deployed model and its measured cost.</w:t>
      </w:r>
    </w:p>
    <w:p>
      <w:pPr>
        <w:spacing w:before="240" w:after="80"/>
      </w:pPr>
      <w:r>
        <w:rPr>
          <w:rFonts w:ascii="Calibri" w:hAnsi="Calibri" w:cs="Calibri"/>
          <w:b/>
          <w:sz w:val="26"/>
        </w:rPr>
        <w:t xml:space="preserve">9. Filesystem Boundary Amendment (ADR-040 §3.1 / DATA_BOUNDARIES §1)</w:t>
      </w:r>
    </w:p>
    <w:p>
      <w:pPr>
        <w:spacing w:before="0" w:after="100"/>
      </w:pPr>
      <w:r>
        <w:rPr>
          <w:rFonts w:ascii="Calibri" w:hAnsi="Calibri" w:cs="Calibri"/>
          <w:sz w:val="21"/>
        </w:rPr>
        <w:t xml:space="preserve">Operator decision (September 29, 2026): amend the boundary to cover the Ollama server settings rather than treat them as an out-of-boundary operator action. Ollama runs as Ollama.app, launched at login; its server reads settings from the launchd user environment. The narrowest durable mechanism is one LaunchAgent that sets named OLLAMA_* variables at login — the same pattern as the existing backup LaunchAgent.</w:t>
      </w:r>
    </w:p>
    <w:tbl>
      <w:tblPr>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3360"/>
        <w:gridCol w:w="3360"/>
        <w:gridCol w:w="3360"/>
      </w:tblGrid>
      <w:tr>
        <w:tc>
          <w:tcPr>
            <w:tcW w:w="3360" w:type="dxa"/>
            <w:shd w:val="clear" w:color="auto" w:fill="F2F2F2"/>
          </w:tcPr>
          <w:p>
            <w:pPr>
              <w:spacing w:before="0" w:after="0"/>
            </w:pPr>
            <w:r>
              <w:rPr>
                <w:rFonts w:ascii="Calibri" w:hAnsi="Calibri" w:cs="Calibri"/>
                <w:b/>
                <w:sz w:val="20"/>
              </w:rPr>
              <w:t xml:space="preserve">Path</w:t>
            </w:r>
          </w:p>
        </w:tc>
        <w:tc>
          <w:tcPr>
            <w:tcW w:w="3360" w:type="dxa"/>
            <w:shd w:val="clear" w:color="auto" w:fill="F2F2F2"/>
          </w:tcPr>
          <w:p>
            <w:pPr>
              <w:spacing w:before="0" w:after="0"/>
            </w:pPr>
            <w:r>
              <w:rPr>
                <w:rFonts w:ascii="Calibri" w:hAnsi="Calibri" w:cs="Calibri"/>
                <w:b/>
                <w:sz w:val="20"/>
              </w:rPr>
              <w:t xml:space="preserve">Access</w:t>
            </w:r>
          </w:p>
        </w:tc>
        <w:tc>
          <w:tcPr>
            <w:tcW w:w="3360" w:type="dxa"/>
            <w:shd w:val="clear" w:color="auto" w:fill="F2F2F2"/>
          </w:tcPr>
          <w:p>
            <w:pPr>
              <w:spacing w:before="0" w:after="0"/>
            </w:pPr>
            <w:r>
              <w:rPr>
                <w:rFonts w:ascii="Calibri" w:hAnsi="Calibri" w:cs="Calibri"/>
                <w:b/>
                <w:sz w:val="20"/>
              </w:rPr>
              <w:t xml:space="preserve">Purpose</w:t>
            </w:r>
          </w:p>
        </w:tc>
      </w:tr>
      <w:tr>
        <w:tc>
          <w:tcPr>
            <w:tcW w:w="3360" w:type="dxa"/>
          </w:tcPr>
          <w:p>
            <w:pPr>
              <w:spacing w:before="0" w:after="0"/>
            </w:pPr>
            <w:r>
              <w:rPr>
                <w:rFonts w:ascii="Calibri" w:hAnsi="Calibri" w:cs="Calibri"/>
                <w:sz w:val="20"/>
              </w:rPr>
              <w:t xml:space="preserve">~/Library/LaunchAgents/com.openclaw.backup.plist</w:t>
            </w:r>
          </w:p>
        </w:tc>
        <w:tc>
          <w:tcPr>
            <w:tcW w:w="3360" w:type="dxa"/>
          </w:tcPr>
          <w:p>
            <w:pPr>
              <w:spacing w:before="0" w:after="0"/>
            </w:pPr>
            <w:r>
              <w:rPr>
                <w:rFonts w:ascii="Calibri" w:hAnsi="Calibri" w:cs="Calibri"/>
                <w:sz w:val="20"/>
              </w:rPr>
              <w:t xml:space="preserve">Write — this one file only</w:t>
            </w:r>
          </w:p>
        </w:tc>
        <w:tc>
          <w:tcPr>
            <w:tcW w:w="3360" w:type="dxa"/>
          </w:tcPr>
          <w:p>
            <w:pPr>
              <w:spacing w:before="0" w:after="0"/>
            </w:pPr>
            <w:r>
              <w:rPr>
                <w:rFonts w:ascii="Calibri" w:hAnsi="Calibri" w:cs="Calibri"/>
                <w:sz w:val="20"/>
              </w:rPr>
              <w:t xml:space="preserve">Nightly pg_dump LaunchAgent, live since May 17, 2026 (ADR-019), installed from scripts/com.openclaw.backup.plist.template. It predates any Section 1 listing; operator decision (September 29, 2026) to list it so the policy matches what runs.</w:t>
            </w:r>
          </w:p>
        </w:tc>
      </w:tr>
      <w:tr>
        <w:tc>
          <w:tcPr>
            <w:tcW w:w="3360" w:type="dxa"/>
          </w:tcPr>
          <w:p>
            <w:pPr>
              <w:spacing w:before="0" w:after="0"/>
            </w:pPr>
            <w:r>
              <w:rPr>
                <w:rFonts w:ascii="Calibri" w:hAnsi="Calibri" w:cs="Calibri"/>
                <w:sz w:val="20"/>
              </w:rPr>
              <w:t xml:space="preserve">~/Library/LaunchAgents/com.openclaw.ollama-env.plist</w:t>
            </w:r>
          </w:p>
        </w:tc>
        <w:tc>
          <w:tcPr>
            <w:tcW w:w="3360" w:type="dxa"/>
          </w:tcPr>
          <w:p>
            <w:pPr>
              <w:spacing w:before="0" w:after="0"/>
            </w:pPr>
            <w:r>
              <w:rPr>
                <w:rFonts w:ascii="Calibri" w:hAnsi="Calibri" w:cs="Calibri"/>
                <w:sz w:val="20"/>
              </w:rPr>
              <w:t xml:space="preserve">Write — this one file only</w:t>
            </w:r>
          </w:p>
        </w:tc>
        <w:tc>
          <w:tcPr>
            <w:tcW w:w="3360" w:type="dxa"/>
          </w:tcPr>
          <w:p>
            <w:pPr>
              <w:spacing w:before="0" w:after="0"/>
            </w:pPr>
            <w:r>
              <w:rPr>
                <w:rFonts w:ascii="Calibri" w:hAnsi="Calibri" w:cs="Calibri"/>
                <w:sz w:val="20"/>
              </w:rPr>
              <w:t xml:space="preserve">Sets OLLAMA_MAX_LOADED_MODELS, OLLAMA_NUM_PARALLEL and, if adopted under Section 5, OLLAMA_FLASH_ATTENTION and OLLAMA_KV_CACHE_TYPE at login. Installed by copying the tracked template scripts/com.openclaw.ollama-env.plist.template. No other file in the directory may be read, listed or written.</w:t>
            </w:r>
          </w:p>
        </w:tc>
      </w:tr>
      <w:tr>
        <w:tc>
          <w:tcPr>
            <w:tcW w:w="3360" w:type="dxa"/>
          </w:tcPr>
          <w:p>
            <w:pPr>
              <w:spacing w:before="0" w:after="0"/>
            </w:pPr>
            <w:r>
              <w:rPr>
                <w:rFonts w:ascii="Calibri" w:hAnsi="Calibri" w:cs="Calibri"/>
                <w:sz w:val="20"/>
              </w:rPr>
              <w:t xml:space="preserve">~/.ollama/logs/server.log</w:t>
            </w:r>
          </w:p>
        </w:tc>
        <w:tc>
          <w:tcPr>
            <w:tcW w:w="3360" w:type="dxa"/>
          </w:tcPr>
          <w:p>
            <w:pPr>
              <w:spacing w:before="0" w:after="0"/>
            </w:pPr>
            <w:r>
              <w:rPr>
                <w:rFonts w:ascii="Calibri" w:hAnsi="Calibri" w:cs="Calibri"/>
                <w:sz w:val="20"/>
              </w:rPr>
              <w:t xml:space="preserve">Read only — this one file</w:t>
            </w:r>
          </w:p>
        </w:tc>
        <w:tc>
          <w:tcPr>
            <w:tcW w:w="3360" w:type="dxa"/>
          </w:tcPr>
          <w:p>
            <w:pPr>
              <w:spacing w:before="0" w:after="0"/>
            </w:pPr>
            <w:r>
              <w:rPr>
                <w:rFonts w:ascii="Calibri" w:hAnsi="Calibri" w:cs="Calibri"/>
                <w:sz w:val="20"/>
              </w:rPr>
              <w:t xml:space="preserve">Verify the server's effective configuration after a restart (the server logs its settings at startup). The only authoritative check that the settings took effect.</w:t>
            </w:r>
          </w:p>
        </w:tc>
      </w:tr>
      <w:tr>
        <w:tc>
          <w:tcPr>
            <w:tcW w:w="3360" w:type="dxa"/>
          </w:tcPr>
          <w:p>
            <w:pPr>
              <w:spacing w:before="0" w:after="0"/>
            </w:pPr>
            <w:r>
              <w:rPr>
                <w:rFonts w:ascii="Calibri" w:hAnsi="Calibri" w:cs="Calibri"/>
                <w:sz w:val="20"/>
              </w:rPr>
              <w:t xml:space="preserve">~/.ollama/models</w:t>
            </w:r>
          </w:p>
        </w:tc>
        <w:tc>
          <w:tcPr>
            <w:tcW w:w="3360" w:type="dxa"/>
          </w:tcPr>
          <w:p>
            <w:pPr>
              <w:spacing w:before="0" w:after="0"/>
            </w:pPr>
            <w:r>
              <w:rPr>
                <w:rFonts w:ascii="Calibri" w:hAnsi="Calibri" w:cs="Calibri"/>
                <w:sz w:val="20"/>
              </w:rPr>
              <w:t xml:space="preserve">No direct access</w:t>
            </w:r>
          </w:p>
        </w:tc>
        <w:tc>
          <w:tcPr>
            <w:tcW w:w="3360" w:type="dxa"/>
          </w:tcPr>
          <w:p>
            <w:pPr>
              <w:spacing w:before="0" w:after="0"/>
            </w:pPr>
            <w:r>
              <w:rPr>
                <w:rFonts w:ascii="Calibri" w:hAnsi="Calibri" w:cs="Calibri"/>
                <w:sz w:val="20"/>
              </w:rPr>
              <w:t xml:space="preserve">Managed by the Ollama server. Reached only through the ollama CLI / API (pull, rm, list, show). Stated so that model downloads are not mistaken for a boundary crossing, and so that direct file access remains prohibited.</w:t>
            </w:r>
          </w:p>
        </w:tc>
      </w:tr>
    </w:tbl>
    <w:p/>
    <w:p>
      <w:pPr>
        <w:spacing w:before="0" w:after="100"/>
      </w:pPr>
      <w:r>
        <w:rPr>
          <w:rFonts w:ascii="Calibri" w:hAnsi="Calibri" w:cs="Calibri"/>
          <w:b/>
          <w:sz w:val="21"/>
        </w:rPr>
        <w:t xml:space="preserve">Assessment (DATA_BOUNDARIES §3 step 2).</w:t>
      </w:r>
      <w:r>
        <w:rPr>
          <w:rFonts w:ascii="Calibri" w:hAnsi="Calibri" w:cs="Calibri"/>
          <w:sz w:val="21"/>
        </w:rPr>
        <w:t xml:space="preserve"> None of these paths holds personal, financial or legally protected data. server.log records request metadata; it is read for configuration lines only. The launchd environment change is limited to variables named OLLAMA_*. No other entry in ~/Library/LaunchAgents may be listed or read. </w:t>
      </w:r>
      <w:r>
        <w:rPr>
          <w:rFonts w:ascii="Calibri" w:hAnsi="Calibri" w:cs="Calibri"/>
          <w:b/>
          <w:sz w:val="21"/>
        </w:rPr>
        <w:t xml:space="preserve">Enforcement:</w:t>
      </w:r>
      <w:r>
        <w:rPr>
          <w:rFonts w:ascii="Calibri" w:hAnsi="Calibri" w:cs="Calibri"/>
          <w:sz w:val="21"/>
        </w:rPr>
        <w:t xml:space="preserve"> as with the rest of the boundary, the control is policy plus disclosure (ADR-045 §6); the §8.3 hook will prompt on these paths, which is the intended behaviour. AC-3 remains NOT MET.</w:t>
      </w:r>
    </w:p>
    <w:p>
      <w:pPr>
        <w:spacing w:before="0" w:after="100"/>
      </w:pPr>
      <w:r>
        <w:rPr>
          <w:rFonts w:ascii="Calibri" w:hAnsi="Calibri" w:cs="Calibri"/>
          <w:sz w:val="21"/>
        </w:rPr>
        <w:t xml:space="preserve">Applied September 29, 2026 in Manual permission mode (ADR-014 §7: edits that widen access). DATA_BOUNDARIES.md is v2.1; ADR-040 is marked in place.</w:t>
      </w:r>
    </w:p>
    <w:p>
      <w:pPr>
        <w:spacing w:before="240" w:after="80"/>
      </w:pPr>
      <w:r>
        <w:rPr>
          <w:rFonts w:ascii="Calibri" w:hAnsi="Calibri" w:cs="Calibri"/>
          <w:b/>
          <w:sz w:val="26"/>
        </w:rPr>
        <w:t xml:space="preserve">10. F2 — Scope of the ADR-032 Re-assessment</w:t>
      </w:r>
    </w:p>
    <w:p>
      <w:pPr>
        <w:spacing w:before="0" w:after="100"/>
      </w:pPr>
      <w:r>
        <w:rPr>
          <w:rFonts w:ascii="Calibri" w:hAnsi="Calibri" w:cs="Calibri"/>
          <w:sz w:val="21"/>
        </w:rPr>
        <w:t xml:space="preserve">Operator decision (September 29, 2026): </w:t>
      </w:r>
      <w:r>
        <w:rPr>
          <w:rFonts w:ascii="Calibri" w:hAnsi="Calibri" w:cs="Calibri"/>
          <w:b/>
          <w:sz w:val="21"/>
        </w:rPr>
        <w:t xml:space="preserve">Option B — re-assess the full NIST SP 800-53 Rev. 5 Moderate baseline mapping</w:t>
      </w:r>
      <w:r>
        <w:rPr>
          <w:rFonts w:ascii="Calibri" w:hAnsi="Calibri" w:cs="Calibri"/>
          <w:sz w:val="21"/>
        </w:rPr>
        <w:t xml:space="preserve"> against the actual architecture. It is performed as its own work product after this ADR's implementation settles, so it assesses the final design. This ADR supplies the new SA-2 basis (Section 3 replaces "32 GB planned"). AC-6, AC-11, AC-18 and the SI-4 / SI-4(5) claims via ADR-034 carry into that re-assessment.</w:t>
      </w:r>
    </w:p>
    <w:p>
      <w:pPr>
        <w:spacing w:before="240" w:after="80"/>
      </w:pPr>
      <w:r>
        <w:rPr>
          <w:rFonts w:ascii="Calibri" w:hAnsi="Calibri" w:cs="Calibri"/>
          <w:b/>
          <w:sz w:val="26"/>
        </w:rPr>
        <w:t xml:space="preserve">11. Implementation Sequence</w:t>
      </w:r>
    </w:p>
    <w:p>
      <w:pPr>
        <w:spacing w:before="0" w:after="100"/>
      </w:pPr>
      <w:r>
        <w:rPr>
          <w:rFonts w:ascii="Calibri" w:hAnsi="Calibri" w:cs="Calibri"/>
          <w:sz w:val="21"/>
        </w:rPr>
        <w:t xml:space="preserve">Each step approved before it is built.</w:t>
      </w:r>
    </w:p>
    <w:p>
      <w:pPr>
        <w:spacing w:before="0" w:after="60"/>
        <w:ind w:left="360" w:hanging="260"/>
      </w:pPr>
      <w:r>
        <w:rPr>
          <w:rFonts w:ascii="Calibri" w:hAnsi="Calibri" w:cs="Calibri"/>
          <w:sz w:val="21"/>
        </w:rPr>
        <w:t xml:space="preserve">1.	</w:t>
      </w:r>
      <w:r>
        <w:rPr>
          <w:rFonts w:ascii="Calibri" w:hAnsi="Calibri" w:cs="Calibri"/>
          <w:sz w:val="21"/>
        </w:rPr>
        <w:t xml:space="preserve">F11 / F12: call_openrouter() returns an explicit disabled error; F9 tier relabel. Tests.</w:t>
      </w:r>
    </w:p>
    <w:p>
      <w:pPr>
        <w:spacing w:before="0" w:after="60"/>
        <w:ind w:left="360" w:hanging="260"/>
      </w:pPr>
      <w:r>
        <w:rPr>
          <w:rFonts w:ascii="Calibri" w:hAnsi="Calibri" w:cs="Calibri"/>
          <w:sz w:val="21"/>
        </w:rPr>
        <w:t xml:space="preserve">2.	</w:t>
      </w:r>
      <w:r>
        <w:rPr>
          <w:rFonts w:ascii="Calibri" w:hAnsi="Calibri" w:cs="Calibri"/>
          <w:sz w:val="21"/>
        </w:rPr>
        <w:t xml:space="preserve">Generator: --model flag, truncation guard, keep_alive 0 on the final call, pre-flight gate, advisory lock. Offline tests in the style of test_count_verification.py.</w:t>
      </w:r>
    </w:p>
    <w:p>
      <w:pPr>
        <w:spacing w:before="0" w:after="60"/>
        <w:ind w:left="360" w:hanging="260"/>
      </w:pPr>
      <w:r>
        <w:rPr>
          <w:rFonts w:ascii="Calibri" w:hAnsi="Calibri" w:cs="Calibri"/>
          <w:sz w:val="21"/>
        </w:rPr>
        <w:t xml:space="preserve">3.	</w:t>
      </w:r>
      <w:r>
        <w:rPr>
          <w:rFonts w:ascii="Calibri" w:hAnsi="Calibri" w:cs="Calibri"/>
          <w:sz w:val="21"/>
        </w:rPr>
        <w:t xml:space="preserve">Boundary amendment (Section 9), Manual mode; LaunchAgent template; operator installs and restarts Ollama.app; verify via server.log.</w:t>
      </w:r>
    </w:p>
    <w:p>
      <w:pPr>
        <w:spacing w:before="0" w:after="60"/>
        <w:ind w:left="360" w:hanging="260"/>
      </w:pPr>
      <w:r>
        <w:rPr>
          <w:rFonts w:ascii="Calibri" w:hAnsi="Calibri" w:cs="Calibri"/>
          <w:sz w:val="21"/>
        </w:rPr>
        <w:t xml:space="preserve">4.	</w:t>
      </w:r>
      <w:r>
        <w:rPr>
          <w:rFonts w:ascii="Calibri" w:hAnsi="Calibri" w:cs="Calibri"/>
          <w:sz w:val="21"/>
        </w:rPr>
        <w:t xml:space="preserve">Docker Desktop memory cap 3 GB (operator, Docker Desktop settings).</w:t>
      </w:r>
    </w:p>
    <w:p>
      <w:pPr>
        <w:spacing w:before="0" w:after="60"/>
        <w:ind w:left="360" w:hanging="260"/>
      </w:pPr>
      <w:r>
        <w:rPr>
          <w:rFonts w:ascii="Calibri" w:hAnsi="Calibri" w:cs="Calibri"/>
          <w:sz w:val="21"/>
        </w:rPr>
        <w:t xml:space="preserve">5.	</w:t>
      </w:r>
      <w:r>
        <w:rPr>
          <w:rFonts w:ascii="Calibri" w:hAnsi="Calibri" w:cs="Calibri"/>
          <w:sz w:val="21"/>
        </w:rPr>
        <w:t xml:space="preserve">Bake-off (Section 4); results as an amendment to this ADR.</w:t>
      </w:r>
    </w:p>
    <w:p>
      <w:pPr>
        <w:spacing w:before="0" w:after="60"/>
        <w:ind w:left="360" w:hanging="260"/>
      </w:pPr>
      <w:r>
        <w:rPr>
          <w:rFonts w:ascii="Calibri" w:hAnsi="Calibri" w:cs="Calibri"/>
          <w:sz w:val="21"/>
        </w:rPr>
        <w:t xml:space="preserve">6.	</w:t>
      </w:r>
      <w:r>
        <w:rPr>
          <w:rFonts w:ascii="Calibri" w:hAnsi="Calibri" w:cs="Calibri"/>
          <w:sz w:val="21"/>
        </w:rPr>
        <w:t xml:space="preserve">F10 maintenance job with tests; fastapi rebuild.</w:t>
      </w:r>
    </w:p>
    <w:p>
      <w:pPr>
        <w:spacing w:before="0" w:after="60"/>
        <w:ind w:left="360" w:hanging="260"/>
      </w:pPr>
      <w:r>
        <w:rPr>
          <w:rFonts w:ascii="Calibri" w:hAnsi="Calibri" w:cs="Calibri"/>
          <w:sz w:val="21"/>
        </w:rPr>
        <w:t xml:space="preserve">7.	</w:t>
      </w:r>
      <w:r>
        <w:rPr>
          <w:rFonts w:ascii="Calibri" w:hAnsi="Calibri" w:cs="Calibri"/>
          <w:sz w:val="21"/>
        </w:rPr>
        <w:t xml:space="preserve">Amendments marked in place: ADR-021, ADR-033, ADR-040, ADR-043 §7; ADR-046 status (F3, F9, F10 closed; F2 scoped).</w:t>
      </w:r>
    </w:p>
    <w:p>
      <w:pPr>
        <w:spacing w:before="0" w:after="60"/>
        <w:ind w:left="360" w:hanging="260"/>
      </w:pPr>
      <w:r>
        <w:rPr>
          <w:rFonts w:ascii="Calibri" w:hAnsi="Calibri" w:cs="Calibri"/>
          <w:sz w:val="21"/>
        </w:rPr>
        <w:t xml:space="preserve">8.	</w:t>
      </w:r>
      <w:r>
        <w:rPr>
          <w:rFonts w:ascii="Calibri" w:hAnsi="Calibri" w:cs="Calibri"/>
          <w:sz w:val="21"/>
        </w:rPr>
        <w:t xml:space="preserve">ADR-032 full re-assessment (Section 10).</w:t>
      </w:r>
    </w:p>
    <w:p>
      <w:pPr>
        <w:spacing w:before="240" w:after="80"/>
      </w:pPr>
      <w:r>
        <w:rPr>
          <w:rFonts w:ascii="Calibri" w:hAnsi="Calibri" w:cs="Calibri"/>
          <w:b/>
          <w:sz w:val="26"/>
        </w:rPr>
        <w:t xml:space="preserve">12. Operator Decisions (September 29, 2026)</w:t>
      </w:r>
    </w:p>
    <w:tbl>
      <w:tblPr>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80" w:type="dxa"/>
          <w:right w:w="80" w:type="dxa"/>
        </w:tblCellMar>
      </w:tblPr>
      <w:tblGrid>
        <w:gridCol w:w="2822"/>
        <w:gridCol w:w="7258"/>
      </w:tblGrid>
      <w:tr>
        <w:tc>
          <w:tcPr>
            <w:tcW w:w="2822" w:type="dxa"/>
            <w:shd w:val="clear" w:color="auto" w:fill="F2F2F2"/>
          </w:tcPr>
          <w:p>
            <w:pPr>
              <w:spacing w:before="0" w:after="0"/>
            </w:pPr>
            <w:r>
              <w:rPr>
                <w:rFonts w:ascii="Calibri" w:hAnsi="Calibri" w:cs="Calibri"/>
                <w:b/>
                <w:sz w:val="20"/>
              </w:rPr>
              <w:t xml:space="preserve">Question</w:t>
            </w:r>
          </w:p>
        </w:tc>
        <w:tc>
          <w:tcPr>
            <w:tcW w:w="7258" w:type="dxa"/>
            <w:shd w:val="clear" w:color="auto" w:fill="F2F2F2"/>
          </w:tcPr>
          <w:p>
            <w:pPr>
              <w:spacing w:before="0" w:after="0"/>
            </w:pPr>
            <w:r>
              <w:rPr>
                <w:rFonts w:ascii="Calibri" w:hAnsi="Calibri" w:cs="Calibri"/>
                <w:b/>
                <w:sz w:val="20"/>
              </w:rPr>
              <w:t xml:space="preserve">Decision</w:t>
            </w:r>
          </w:p>
        </w:tc>
      </w:tr>
      <w:tr>
        <w:tc>
          <w:tcPr>
            <w:tcW w:w="2822" w:type="dxa"/>
          </w:tcPr>
          <w:p>
            <w:pPr>
              <w:spacing w:before="0" w:after="0"/>
            </w:pPr>
            <w:r>
              <w:rPr>
                <w:rFonts w:ascii="Calibri" w:hAnsi="Calibri" w:cs="Calibri"/>
                <w:sz w:val="20"/>
              </w:rPr>
              <w:t xml:space="preserve">ADR-043 VPS migration</w:t>
            </w:r>
          </w:p>
        </w:tc>
        <w:tc>
          <w:tcPr>
            <w:tcW w:w="7258" w:type="dxa"/>
          </w:tcPr>
          <w:p>
            <w:pPr>
              <w:spacing w:before="0" w:after="0"/>
            </w:pPr>
            <w:r>
              <w:rPr>
                <w:rFonts w:ascii="Calibri" w:hAnsi="Calibri" w:cs="Calibri"/>
                <w:sz w:val="20"/>
              </w:rPr>
              <w:t xml:space="preserve">No VPS exists. The pipeline and containers remain on this host. ADR-043 §7's VPS migration is not being pursued; ADR-043 is amended to say so.</w:t>
            </w:r>
          </w:p>
        </w:tc>
      </w:tr>
      <w:tr>
        <w:tc>
          <w:tcPr>
            <w:tcW w:w="2822" w:type="dxa"/>
          </w:tcPr>
          <w:p>
            <w:pPr>
              <w:spacing w:before="0" w:after="0"/>
            </w:pPr>
            <w:r>
              <w:rPr>
                <w:rFonts w:ascii="Calibri" w:hAnsi="Calibri" w:cs="Calibri"/>
                <w:sz w:val="20"/>
              </w:rPr>
              <w:t xml:space="preserve">F2 scope</w:t>
            </w:r>
          </w:p>
        </w:tc>
        <w:tc>
          <w:tcPr>
            <w:tcW w:w="7258" w:type="dxa"/>
          </w:tcPr>
          <w:p>
            <w:pPr>
              <w:spacing w:before="0" w:after="0"/>
            </w:pPr>
            <w:r>
              <w:rPr>
                <w:rFonts w:ascii="Calibri" w:hAnsi="Calibri" w:cs="Calibri"/>
                <w:sz w:val="20"/>
              </w:rPr>
              <w:t xml:space="preserve">Option B — full Moderate baseline re-assessment.</w:t>
            </w:r>
          </w:p>
        </w:tc>
      </w:tr>
      <w:tr>
        <w:tc>
          <w:tcPr>
            <w:tcW w:w="2822" w:type="dxa"/>
          </w:tcPr>
          <w:p>
            <w:pPr>
              <w:spacing w:before="0" w:after="0"/>
            </w:pPr>
            <w:r>
              <w:rPr>
                <w:rFonts w:ascii="Calibri" w:hAnsi="Calibri" w:cs="Calibri"/>
                <w:sz w:val="20"/>
              </w:rPr>
              <w:t xml:space="preserve">Ollama server settings outside ~/openclaw</w:t>
            </w:r>
          </w:p>
        </w:tc>
        <w:tc>
          <w:tcPr>
            <w:tcW w:w="7258" w:type="dxa"/>
          </w:tcPr>
          <w:p>
            <w:pPr>
              <w:spacing w:before="0" w:after="0"/>
            </w:pPr>
            <w:r>
              <w:rPr>
                <w:rFonts w:ascii="Calibri" w:hAnsi="Calibri" w:cs="Calibri"/>
                <w:sz w:val="20"/>
              </w:rPr>
              <w:t xml:space="preserve">Amend DATA_BOUNDARIES to cover them (Section 9).</w:t>
            </w:r>
          </w:p>
        </w:tc>
      </w:tr>
      <w:tr>
        <w:tc>
          <w:tcPr>
            <w:tcW w:w="2822" w:type="dxa"/>
          </w:tcPr>
          <w:p>
            <w:pPr>
              <w:spacing w:before="0" w:after="0"/>
            </w:pPr>
            <w:r>
              <w:rPr>
                <w:rFonts w:ascii="Calibri" w:hAnsi="Calibri" w:cs="Calibri"/>
                <w:sz w:val="20"/>
              </w:rPr>
              <w:t xml:space="preserve">Existing backup LaunchAgent, unlisted in Section 1</w:t>
            </w:r>
          </w:p>
        </w:tc>
        <w:tc>
          <w:tcPr>
            <w:tcW w:w="7258" w:type="dxa"/>
          </w:tcPr>
          <w:p>
            <w:pPr>
              <w:spacing w:before="0" w:after="0"/>
            </w:pPr>
            <w:r>
              <w:rPr>
                <w:rFonts w:ascii="Calibri" w:hAnsi="Calibri" w:cs="Calibri"/>
                <w:sz w:val="20"/>
              </w:rPr>
              <w:t xml:space="preserve">Add it in the same amendment so the policy matches what runs (Section 9).</w:t>
            </w:r>
          </w:p>
        </w:tc>
      </w:tr>
    </w:tbl>
    <w:p/>
    <w:p>
      <w:pPr>
        <w:spacing w:before="240" w:after="80"/>
      </w:pPr>
      <w:r>
        <w:rPr>
          <w:rFonts w:ascii="Calibri" w:hAnsi="Calibri" w:cs="Calibri"/>
          <w:b/>
          <w:sz w:val="26"/>
        </w:rPr>
        <w:t xml:space="preserve">13. Consequences and Revisit Triggers</w:t>
      </w:r>
    </w:p>
    <w:p>
      <w:pPr>
        <w:spacing w:before="0" w:after="100"/>
      </w:pPr>
      <w:r>
        <w:rPr>
          <w:rFonts w:ascii="Calibri" w:hAnsi="Calibri" w:cs="Calibri"/>
          <w:b/>
          <w:sz w:val="21"/>
        </w:rPr>
        <w:t xml:space="preserve">Accepted — positive:</w:t>
      </w:r>
      <w:r>
        <w:rPr>
          <w:rFonts w:ascii="Calibri" w:hAnsi="Calibri" w:cs="Calibri"/>
          <w:sz w:val="21"/>
        </w:rPr>
        <w:t xml:space="preserve"> a documented, measured budget replaces assumptions about absent hardware; silent truncation becomes a blocking failure; three dead or false controls (F3, F9, F11) are replaced; the operator's own use of the laptop is protected by releasing memory immediately.</w:t>
      </w:r>
    </w:p>
    <w:p>
      <w:pPr>
        <w:spacing w:before="0" w:after="100"/>
      </w:pPr>
      <w:r>
        <w:rPr>
          <w:rFonts w:ascii="Calibri" w:hAnsi="Calibri" w:cs="Calibri"/>
          <w:b/>
          <w:sz w:val="21"/>
        </w:rPr>
        <w:t xml:space="preserve">Accepted — negative:</w:t>
      </w:r>
      <w:r>
        <w:rPr>
          <w:rFonts w:ascii="Calibri" w:hAnsi="Calibri" w:cs="Calibri"/>
          <w:sz w:val="21"/>
        </w:rPr>
        <w:t xml:space="preserve"> one local model limits specialisation; 17 tok/s generation remains slow; confidential long-document work is capped near 16K and relies on chunking; the boundary grows by two single-file entries.</w:t>
      </w:r>
    </w:p>
    <w:p>
      <w:pPr>
        <w:spacing w:before="0" w:after="100"/>
      </w:pPr>
      <w:r>
        <w:rPr>
          <w:rFonts w:ascii="Calibri" w:hAnsi="Calibri" w:cs="Calibri"/>
          <w:b/>
          <w:sz w:val="21"/>
        </w:rPr>
        <w:t xml:space="preserve">Revisit if:</w:t>
      </w:r>
      <w:r>
        <w:rPr>
          <w:rFonts w:ascii="Calibri" w:hAnsi="Calibri" w:cs="Calibri"/>
          <w:sz w:val="21"/>
        </w:rPr>
        <w:t xml:space="preserve"> every in-envelope model fails the verifier on every bake-off run; confidential work needs more than 16K; any host change (ADR-043 §9).</w:t>
      </w:r>
    </w:p>
    <w:p>
      <w:pPr>
        <w:spacing w:before="0" w:after="100"/>
      </w:pPr>
      <w:r>
        <w:rPr>
          <w:rFonts w:ascii="Calibri" w:hAnsi="Calibri" w:cs="Calibri"/>
          <w:color w:val="555555"/>
          <w:sz w:val="19"/>
        </w:rPr>
        <w:t xml:space="preserve">Sheldon Wheeler — OpenClaw Personal Stack — ADR-047 — Decided September 29, 2026</w:t>
      </w:r>
    </w:p>
    <w:sectPr>
      <w:pgSz w:w="12240" w:h="15840" w:orient="portrait"/>
      <w:pgMar w:top="1080" w:right="1080" w:bottom="1080" w:left="1080" w:header="720" w:footer="720" w:gutter="0"/>
    </w:sectPr>
  </w:body>
</w:document>
</file>