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i w:val="false"/>
          <w:iCs w:val="false"/>
        </w:rPr>
        <w:t xml:space="preserve">ADR-039</w:t>
      </w:r>
    </w:p>
    <w:p>
      <w:pPr>
        <w:spacing w:after="40"/>
      </w:pPr>
      <w:r>
        <w:rPr>
          <w:b/>
          <w:bCs/>
          <w:i w:val="false"/>
          <w:iCs w:val="false"/>
        </w:rPr>
        <w:t xml:space="preserve">Adversarial Review Findings and Remediation Plan</w:t>
      </w:r>
    </w:p>
    <w:p>
      <w:pPr>
        <w:spacing w:after="240"/>
      </w:pPr>
      <w:r>
        <w:rPr>
          <w:b w:val="false"/>
          <w:bCs w:val="false"/>
          <w:i w:val="false"/>
          <w:iCs w:val="false"/>
        </w:rPr>
        <w:t xml:space="preserve">OpenClaw — Phase 1    |    Drafted April 19, 2026    |    Amended May 15 and May 17, 2026</w:t>
      </w:r>
    </w:p>
    <w:p>
      <w:pPr>
        <w:pStyle w:val="Heading1"/>
        <w:spacing w:after="200" w:before="240"/>
      </w:pPr>
      <w:r>
        <w:rPr>
          <w:b/>
          <w:bCs/>
        </w:rPr>
        <w:t xml:space="preserve">1.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ADR Number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ADR-039</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Title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Adversarial Review Findings and Remediation Plan</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OPEN — Drafted April 19, 2026. Amendments May 15, 2026 (A6 DECIDED, §7.5 added) and May 17, 2026 (§5.6.4 canonical file set populated). Remediation in progress.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Deciders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Sheldon Wheeler (owner, sole operator)</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ADR References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ADR-019 (Backup Configuration) · ADR-026 (Docker Sandboxes) · ADR-028 (Operator Approval) · ADR-029 (Audit Table) · ADR-031 (Change Management) · ADR-035 (Runtime Plumbing) · ADR-037 (Transcript &amp; Heartbeat) · ADR-038 (Security Event Detection)</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NIST Controls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AC-6 · AU-9 · CM-3 · CP-2 · CP-9 · CP-10 · IA-5 · IA-5(1) · IR-3 · IR-4 · IR-8 · SA-11 · SC-12 · SC-28 · SC-28(1) · SI-3 · SI-4</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 Scope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 1 — Critical and High findings. Phase 1.5 — Medium findings. Phase 2 — accepted risks reviewed.</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Supersedes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 Review artifact; does not invalidate prior ADRs.</w:t>
            </w:r>
          </w:p>
        </w:tc>
      </w:tr>
    </w:tbl>
    <w:p>
      <w:pPr>
        <w:pStyle w:val="Heading1"/>
        <w:spacing w:after="200" w:before="240"/>
      </w:pPr>
      <w:r>
        <w:rPr>
          <w:b/>
          <w:bCs/>
        </w:rPr>
        <w:t xml:space="preserve">2.  Purpose</w:t>
      </w:r>
    </w:p>
    <w:p>
      <w:pPr>
        <w:spacing w:after="120"/>
      </w:pPr>
      <w:r>
        <w:rPr>
          <w:b w:val="false"/>
          <w:bCs w:val="false"/>
          <w:i w:val="false"/>
          <w:iCs w:val="false"/>
        </w:rPr>
        <w:t xml:space="preserve">ADR-039 records the findings of an adversarial review of the OpenClaw stack conducted April 19, 2026, and the disposition of each finding. The review was solicited to test the stack against a skeptical, attacker-minded reading rather than an implementation-friendly one. Thirteen findings were produced across four severity bands.</w:t>
      </w:r>
    </w:p>
    <w:p>
      <w:pPr>
        <w:spacing w:after="120"/>
      </w:pPr>
      <w:r>
        <w:rPr>
          <w:b w:val="false"/>
          <w:bCs w:val="false"/>
          <w:i w:val="false"/>
          <w:iCs w:val="false"/>
        </w:rPr>
        <w:t xml:space="preserve">This ADR serves three purposes: (1) single source of truth for review outcomes, avoiding a scatter of thirteen individual ADRs or untracked conversation artifacts; (2) decision container for the sub-decisions triggered by review findings that do require architectural choices; (3) open-item register feeding the ADR-031 change management cadence until all items are closed or explicitly accepted.</w:t>
      </w:r>
    </w:p>
    <w:p>
      <w:pPr>
        <w:spacing w:after="120"/>
      </w:pPr>
      <w:r>
        <w:rPr>
          <w:b w:val="false"/>
          <w:bCs w:val="false"/>
          <w:i w:val="false"/>
          <w:iCs w:val="false"/>
        </w:rPr>
        <w:t xml:space="preserve">Findings fall into three categories. Category A findings require new architectural decisions and are recorded as sub-decisions in Section 5. Category B findings are execution gaps under existing ADRs and are registered in Section 6 for ADR-031 tracking. Category C findings are accepted risks, operational artifacts, or process corrections not warranting an ADR, and are documented in Section 7.</w:t>
      </w:r>
    </w:p>
    <w:p>
      <w:pPr>
        <w:pStyle w:val="Heading1"/>
        <w:spacing w:after="200" w:before="240"/>
      </w:pPr>
      <w:r>
        <w:rPr>
          <w:b/>
          <w:bCs/>
        </w:rPr>
        <w:t xml:space="preserve">3.  Review Method and Scope</w:t>
      </w:r>
    </w:p>
    <w:p>
      <w:pPr>
        <w:spacing w:after="120"/>
      </w:pPr>
      <w:r>
        <w:rPr>
          <w:b w:val="false"/>
          <w:bCs w:val="false"/>
          <w:i w:val="false"/>
          <w:iCs w:val="false"/>
        </w:rPr>
        <w:t xml:space="preserve">The review was conducted as a single-session adversarial read against the then-current state of the stack: Session 11 verified end-to-end pipeline, 37 prior ADRs, federal_policy_brief pre-implementation state, MacBook Air M1 interim hardware, native Ollama, Gemma 4 E4B as the active model. The reviewer was given access to project knowledge including all ADRs, the IR runbook, NIST compliance document, changelog entries, and current code in security.py, interceptor.py, db.py, telegram_bot.py, session_loader.py, models.py, llm.py, audit.py, main.py, and schema.sql.</w:t>
      </w:r>
    </w:p>
    <w:p>
      <w:pPr>
        <w:spacing w:after="120"/>
      </w:pPr>
      <w:r>
        <w:rPr>
          <w:b w:val="false"/>
          <w:bCs w:val="false"/>
          <w:i w:val="false"/>
          <w:iCs w:val="false"/>
        </w:rPr>
        <w:t xml:space="preserve">The review did not include: dynamic testing of the running system, penetration testing, fuzzing, or inspection of data in the running PostgreSQL instance. It is a static document and code review only. Findings that would require dynamic testing to confirm are flagged as such and are recorded as suspected rather than verified.</w:t>
      </w:r>
    </w:p>
    <w:p>
      <w:pPr>
        <w:pStyle w:val="Heading1"/>
        <w:spacing w:after="200" w:before="240"/>
      </w:pPr>
      <w:r>
        <w:rPr>
          <w:b/>
          <w:bCs/>
        </w:rPr>
        <w:t xml:space="preserve">4.  Severity Framework</w:t>
      </w:r>
    </w:p>
    <w:p>
      <w:pPr>
        <w:spacing w:after="120"/>
      </w:pPr>
      <w:r>
        <w:rPr>
          <w:b w:val="false"/>
          <w:bCs w:val="false"/>
          <w:i w:val="false"/>
          <w:iCs w:val="false"/>
        </w:rPr>
        <w:t xml:space="preserve">Findings are classified by severity using the same four-tier framework as the IR runbook (SEV-1 through SEV-4), mapped to remediation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Severity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Action Window</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Criterion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Before next working session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Likely or current exposure with catastrophic loss potential. Unrecoverable if realized.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Current phase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High-likelihood or high-impact weakness in a claimed control. Recoverable but costly.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Before Mac Studio setup day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Credible weakness with bounded impact or available workaround.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Tracked but not chased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Process miss, minor drift, or housekeeping. No meaningful exposure.</w:t>
            </w:r>
          </w:p>
        </w:tc>
      </w:tr>
    </w:tbl>
    <w:p>
      <w:pPr>
        <w:pStyle w:val="Heading1"/>
        <w:spacing w:after="200" w:before="240"/>
      </w:pPr>
      <w:r>
        <w:rPr>
          <w:b/>
          <w:bCs/>
        </w:rPr>
        <w:t xml:space="preserve">5.  Category A — New Architectural Decisions</w:t>
      </w:r>
    </w:p>
    <w:p>
      <w:pPr>
        <w:spacing w:after="120"/>
      </w:pPr>
      <w:r>
        <w:rPr>
          <w:b w:val="false"/>
          <w:bCs w:val="false"/>
          <w:i w:val="false"/>
          <w:iCs w:val="false"/>
        </w:rPr>
        <w:t xml:space="preserve">These findings require architectural choices beyond mere execution. Each is recorded as a sub-decision within this ADR. Sub-decisions remain OPEN until the chosen option is implemented and verified; upon closure, the sub-decision section is marked DECIDED with implementation notes.</w:t>
      </w:r>
    </w:p>
    <w:p>
      <w:pPr>
        <w:pStyle w:val="Heading2"/>
        <w:spacing w:after="160" w:before="200"/>
      </w:pPr>
      <w:r>
        <w:rPr>
          <w:b/>
          <w:bCs/>
        </w:rPr>
        <w:t xml:space="preserve">5.1  Sub-decision A1 — Secrets-at-rest architecture (Critical)</w:t>
      </w:r>
    </w:p>
    <w:p>
      <w:pPr>
        <w:spacing w:after="120"/>
      </w:pPr>
      <w:r>
        <w:rPr>
          <w:b w:val="false"/>
          <w:bCs w:val="false"/>
          <w:i w:val="false"/>
          <w:iCs w:val="false"/>
        </w:rPr>
        <w:t xml:space="preserve">Finding C1. The .env file currently holds the Telegram bot token, database credentials, and OpenRouter API key. The .gitignore is the sole protection. The ADR-019 nightly pg_dump writes unencrypted SQL to iCloud Drive containing session transcripts, security event input snippets, and full audit logs. This creates two exposure paths: accidental git commit of .env, and any device or account with read access to the sheldon.wheeler@icloud.com Apple ID can read every backup.</w:t>
      </w:r>
    </w:p>
    <w:p>
      <w:pPr>
        <w:pStyle w:val="Heading3"/>
        <w:spacing w:after="120" w:before="180"/>
      </w:pPr>
      <w:r>
        <w:rPr>
          <w:b/>
          <w:bCs/>
        </w:rPr>
        <w:t xml:space="preserve">5.1.1  Options considered</w:t>
      </w:r>
    </w:p>
    <w:p>
      <w:pPr>
        <w:pStyle w:val="ListParagraph"/>
        <w:numPr>
          <w:ilvl w:val="0"/>
          <w:numId w:val="2"/>
        </w:numPr>
        <w:spacing w:after="80"/>
      </w:pPr>
      <w:r>
        <w:t xml:space="preserve">Option 1 — macOS Keychain. FastAPI reads secrets via `security find-generic-password` at startup. Non-secret config remains in .env. Keychain is FileVault-protected at rest and access-controlled per application.</w:t>
      </w:r>
    </w:p>
    <w:p>
      <w:pPr>
        <w:pStyle w:val="ListParagraph"/>
        <w:numPr>
          <w:ilvl w:val="0"/>
          <w:numId w:val="2"/>
        </w:numPr>
        <w:spacing w:after="80"/>
      </w:pPr>
      <w:r>
        <w:t xml:space="preserve">Option 2 — age-encrypted secrets file. A single secrets.age file, decrypted at startup with a passphrase from Keychain. Adds indirection but preserves a file-based config model.</w:t>
      </w:r>
    </w:p>
    <w:p>
      <w:pPr>
        <w:pStyle w:val="ListParagraph"/>
        <w:numPr>
          <w:ilvl w:val="0"/>
          <w:numId w:val="2"/>
        </w:numPr>
        <w:spacing w:after="80"/>
      </w:pPr>
      <w:r>
        <w:t xml:space="preserve">Option 3 — 1Password CLI. `op read` at startup. Requires 1Password subscription; adds third-party dependency.</w:t>
      </w:r>
    </w:p>
    <w:p>
      <w:pPr>
        <w:pStyle w:val="Heading3"/>
        <w:spacing w:after="120" w:before="180"/>
      </w:pPr>
      <w:r>
        <w:rPr>
          <w:b/>
          <w:bCs/>
        </w:rPr>
        <w:t xml:space="preserve">5.1.2  Status</w:t>
      </w:r>
    </w:p>
    <w:p>
      <w:pPr>
        <w:spacing w:after="120"/>
      </w:pPr>
      <w:r>
        <w:rPr>
          <w:b w:val="false"/>
          <w:bCs w:val="false"/>
          <w:i w:val="false"/>
          <w:iCs w:val="false"/>
        </w:rPr>
        <w:t xml:space="preserve">DECIDED — April 24, 2026 (Entry #008). Option 1 selected. Six secrets stored in macOS Keychain under account=openclaw. config.py rewritten with SecretsOverlay class. .env scrubbed. Stack verified post-rebuild.</w:t>
      </w:r>
    </w:p>
    <w:p>
      <w:pPr>
        <w:pStyle w:val="Heading3"/>
        <w:spacing w:after="120" w:before="180"/>
      </w:pPr>
      <w:r>
        <w:rPr>
          <w:b/>
          <w:bCs/>
        </w:rPr>
        <w:t xml:space="preserve">5.1.3  Remediation tasks</w:t>
      </w:r>
    </w:p>
    <w:p>
      <w:pPr>
        <w:pStyle w:val="ListParagraph"/>
        <w:numPr>
          <w:ilvl w:val="0"/>
          <w:numId w:val="2"/>
        </w:numPr>
        <w:spacing w:after="80"/>
      </w:pPr>
      <w:r>
        <w:t xml:space="preserve">Decide between Option 1, 2, or 3. Record decision here. — DONE (Option 1)</w:t>
      </w:r>
    </w:p>
    <w:p>
      <w:pPr>
        <w:pStyle w:val="ListParagraph"/>
        <w:numPr>
          <w:ilvl w:val="0"/>
          <w:numId w:val="2"/>
        </w:numPr>
        <w:spacing w:after="80"/>
      </w:pPr>
      <w:r>
        <w:t xml:space="preserve">Migrate TELEGRAM_BOT_TOKEN, TELEGRAM_OPERATOR_USER_ID, POSTGRES_PASSWORD, OPENROUTER_API_KEY to chosen store. — DONE</w:t>
      </w:r>
    </w:p>
    <w:p>
      <w:pPr>
        <w:pStyle w:val="ListParagraph"/>
        <w:numPr>
          <w:ilvl w:val="0"/>
          <w:numId w:val="2"/>
        </w:numPr>
        <w:spacing w:after="80"/>
      </w:pPr>
      <w:r>
        <w:t xml:space="preserve">Update app/config.py (or equivalent) to read secrets from chosen store. — DONE</w:t>
      </w:r>
    </w:p>
    <w:p>
      <w:pPr>
        <w:pStyle w:val="ListParagraph"/>
        <w:numPr>
          <w:ilvl w:val="0"/>
          <w:numId w:val="2"/>
        </w:numPr>
        <w:spacing w:after="80"/>
      </w:pPr>
      <w:r>
        <w:t xml:space="preserve">Create .env.example in repo with all non-secret keys documented and all secret keys referenced as placeholders. — OPEN</w:t>
      </w:r>
    </w:p>
    <w:p>
      <w:pPr>
        <w:pStyle w:val="ListParagraph"/>
        <w:numPr>
          <w:ilvl w:val="0"/>
          <w:numId w:val="2"/>
        </w:numPr>
        <w:spacing w:after="80"/>
      </w:pPr>
      <w:r>
        <w:t xml:space="preserve">Encrypt pg_dump output before iCloud write; store decryption key in Keychain. — OPEN (paired with A4 backup destination work; both deferred to Mac Studio setup day)</w:t>
      </w:r>
    </w:p>
    <w:p>
      <w:pPr>
        <w:pStyle w:val="ListParagraph"/>
        <w:numPr>
          <w:ilvl w:val="0"/>
          <w:numId w:val="2"/>
        </w:numPr>
        <w:spacing w:after="80"/>
      </w:pPr>
      <w:r>
        <w:t xml:space="preserve">Install gitleaks or git-secrets pre-commit hook on the repo. — OPEN</w:t>
      </w:r>
    </w:p>
    <w:p>
      <w:pPr>
        <w:pStyle w:val="ListParagraph"/>
        <w:numPr>
          <w:ilvl w:val="0"/>
          <w:numId w:val="2"/>
        </w:numPr>
        <w:spacing w:after="80"/>
      </w:pPr>
      <w:r>
        <w:t xml:space="preserve">Verify the macbook-air SSH key has a passphrase; add one if not. — OPEN</w:t>
      </w:r>
    </w:p>
    <w:p>
      <w:pPr>
        <w:pStyle w:val="Heading2"/>
        <w:spacing w:after="160" w:before="200"/>
      </w:pPr>
      <w:r>
        <w:rPr>
          <w:b/>
          <w:bCs/>
        </w:rPr>
        <w:t xml:space="preserve">5.2  Sub-decision A2 — Docker isolation claim (High)</w:t>
      </w:r>
    </w:p>
    <w:p>
      <w:pPr>
        <w:spacing w:after="120"/>
      </w:pPr>
      <w:r>
        <w:rPr>
          <w:b w:val="false"/>
          <w:bCs w:val="false"/>
          <w:i w:val="false"/>
          <w:iCs w:val="false"/>
        </w:rPr>
        <w:t xml:space="preserve">Finding H1. ADR-026 describes Docker microVM sandboxes; the NIST compliance document cites this as the basis for SC-2, SC-3, SC-4, and SC-39 being MET. Docker Desktop on Apple Silicon does not provide per-container microVM isolation by default. It runs all containers inside a single Linux VM with namespace and cgroup isolation — standard Docker, not per-container microVMs. Enhanced Container Isolation via Sysbox exists but is opt-in and typically licensed to Business tier.</w:t>
      </w:r>
    </w:p>
    <w:p>
      <w:pPr>
        <w:pStyle w:val="Heading3"/>
        <w:spacing w:after="120" w:before="180"/>
      </w:pPr>
      <w:r>
        <w:rPr>
          <w:b/>
          <w:bCs/>
        </w:rPr>
        <w:t xml:space="preserve">5.2.1  Options considered</w:t>
      </w:r>
    </w:p>
    <w:p>
      <w:pPr>
        <w:pStyle w:val="ListParagraph"/>
        <w:numPr>
          <w:ilvl w:val="0"/>
          <w:numId w:val="2"/>
        </w:numPr>
        <w:spacing w:after="80"/>
      </w:pPr>
      <w:r>
        <w:t xml:space="preserve">Option 1 — Downgrade the claim. Update ADR-026 and the NIST document to reference Linux namespace and cgroup isolation. Mark SC-2, SC-3, SC-4, SC-39 as PARTIAL or accept a more modest MET wording. No implementation change; accept the residual risk of shared-kernel escape.</w:t>
      </w:r>
    </w:p>
    <w:p>
      <w:pPr>
        <w:pStyle w:val="ListParagraph"/>
        <w:numPr>
          <w:ilvl w:val="0"/>
          <w:numId w:val="2"/>
        </w:numPr>
        <w:spacing w:after="80"/>
      </w:pPr>
      <w:r>
        <w:t xml:space="preserve">Option 2 — Adopt Sysbox or gVisor. Install a runtime providing genuine per-container isolation. Apply to Automate and Research persona containers. Implementation cost is non-trivial and may not be compatible with Docker Desktop on Apple Silicon without workarounds.</w:t>
      </w:r>
    </w:p>
    <w:p>
      <w:pPr>
        <w:pStyle w:val="ListParagraph"/>
        <w:numPr>
          <w:ilvl w:val="0"/>
          <w:numId w:val="2"/>
        </w:numPr>
        <w:spacing w:after="80"/>
      </w:pPr>
      <w:r>
        <w:t xml:space="preserve">Option 3 — Move to a hypervisor-based per-persona VM model. Each persona runs in its own Lima or UTM VM rather than a container. Significant rearchitecture. Defer to Phase 2 if adopted.</w:t>
      </w:r>
    </w:p>
    <w:p>
      <w:pPr>
        <w:pStyle w:val="Heading3"/>
        <w:spacing w:after="120" w:before="180"/>
      </w:pPr>
      <w:r>
        <w:rPr>
          <w:b/>
          <w:bCs/>
        </w:rPr>
        <w:t xml:space="preserve">5.2.2  Status</w:t>
      </w:r>
    </w:p>
    <w:p>
      <w:pPr>
        <w:spacing w:after="120"/>
      </w:pPr>
      <w:r>
        <w:rPr>
          <w:b w:val="false"/>
          <w:bCs w:val="false"/>
          <w:i w:val="false"/>
          <w:iCs w:val="false"/>
        </w:rPr>
        <w:t xml:space="preserve">OPEN. At Phase 1 personal scale with no external-facing services and Tailscale-only inbound, Option 1 is the pragmatic choice. Option 2 or 3 would be reconsidered if any persona handles third-party customer data (federal_policy_brief is pre-beta; state_policy_brief and nh_municipal_transparency cross that line later).</w:t>
      </w:r>
    </w:p>
    <w:p>
      <w:pPr>
        <w:pStyle w:val="Heading3"/>
        <w:spacing w:after="120" w:before="180"/>
      </w:pPr>
      <w:r>
        <w:rPr>
          <w:b/>
          <w:bCs/>
        </w:rPr>
        <w:t xml:space="preserve">5.2.3  Remediation tasks</w:t>
      </w:r>
    </w:p>
    <w:p>
      <w:pPr>
        <w:pStyle w:val="ListParagraph"/>
        <w:numPr>
          <w:ilvl w:val="0"/>
          <w:numId w:val="2"/>
        </w:numPr>
        <w:spacing w:after="80"/>
      </w:pPr>
      <w:r>
        <w:t xml:space="preserve">Run `docker info` on the MacBook Air; record the actual runtime and isolation mode.</w:t>
      </w:r>
    </w:p>
    <w:p>
      <w:pPr>
        <w:pStyle w:val="ListParagraph"/>
        <w:numPr>
          <w:ilvl w:val="0"/>
          <w:numId w:val="2"/>
        </w:numPr>
        <w:spacing w:after="80"/>
      </w:pPr>
      <w:r>
        <w:t xml:space="preserve">Update ADR-026 language to match reality.</w:t>
      </w:r>
    </w:p>
    <w:p>
      <w:pPr>
        <w:pStyle w:val="ListParagraph"/>
        <w:numPr>
          <w:ilvl w:val="0"/>
          <w:numId w:val="2"/>
        </w:numPr>
        <w:spacing w:after="80"/>
      </w:pPr>
      <w:r>
        <w:t xml:space="preserve">Update Mac_Mini_NIST_800_53_Compliance.docx entries for SC-2, SC-3, SC-4, SC-39 to reflect the actual isolation mode.</w:t>
      </w:r>
    </w:p>
    <w:p>
      <w:pPr>
        <w:pStyle w:val="ListParagraph"/>
        <w:numPr>
          <w:ilvl w:val="0"/>
          <w:numId w:val="2"/>
        </w:numPr>
        <w:spacing w:after="80"/>
      </w:pPr>
      <w:r>
        <w:t xml:space="preserve">Add a Phase 2 trigger in ADR-031: revisit isolation model before any project handles third-party PII.</w:t>
      </w:r>
    </w:p>
    <w:p>
      <w:pPr>
        <w:pStyle w:val="Heading2"/>
        <w:spacing w:after="160" w:before="200"/>
      </w:pPr>
      <w:r>
        <w:rPr>
          <w:b/>
          <w:bCs/>
        </w:rPr>
        <w:t xml:space="preserve">5.3  Sub-decision A3 — Native Ollama trust boundary (High)</w:t>
      </w:r>
    </w:p>
    <w:p>
      <w:pPr>
        <w:spacing w:after="120"/>
      </w:pPr>
      <w:r>
        <w:rPr>
          <w:b w:val="false"/>
          <w:bCs w:val="false"/>
          <w:i w:val="false"/>
          <w:iCs w:val="false"/>
        </w:rPr>
        <w:t xml:space="preserve">Finding H3. Changelog Entry #004 recorded the move of Ollama from a Docker container to native macOS for GPU access. The change was operationally correct (4-6x response time improvement) but changed the trust model: Ollama now runs outside the container isolation boundary, is not subject to Little Snitch per-container rules, and has its own CVE cadence independent of Docker image pinning under SI-7(1).</w:t>
      </w:r>
    </w:p>
    <w:p>
      <w:pPr>
        <w:pStyle w:val="Heading3"/>
        <w:spacing w:after="120" w:before="180"/>
      </w:pPr>
      <w:r>
        <w:rPr>
          <w:b/>
          <w:bCs/>
        </w:rPr>
        <w:t xml:space="preserve">5.3.1  Decision</w:t>
      </w:r>
    </w:p>
    <w:p>
      <w:pPr>
        <w:spacing w:after="120"/>
      </w:pPr>
      <w:r>
        <w:rPr>
          <w:b w:val="false"/>
          <w:bCs w:val="false"/>
          <w:i w:val="false"/>
          <w:iCs w:val="false"/>
        </w:rPr>
        <w:t xml:space="preserve">Native Ollama is retained. The performance benefit is material on Apple Silicon, and Ollama runs under a named macOS account with FileVault-protected storage. However, three compensating controls are required to restore equivalent posture.</w:t>
      </w:r>
    </w:p>
    <w:p>
      <w:pPr>
        <w:pStyle w:val="Heading3"/>
        <w:spacing w:after="120" w:before="180"/>
      </w:pPr>
      <w:r>
        <w:rPr>
          <w:b/>
          <w:bCs/>
        </w:rPr>
        <w:t xml:space="preserve">5.3.2  Remediation tasks</w:t>
      </w:r>
    </w:p>
    <w:p>
      <w:pPr>
        <w:pStyle w:val="ListParagraph"/>
        <w:numPr>
          <w:ilvl w:val="0"/>
          <w:numId w:val="2"/>
        </w:numPr>
        <w:spacing w:after="80"/>
      </w:pPr>
      <w:r>
        <w:t xml:space="preserve">Verify Ollama binds to 127.0.0.1:11434, not 0.0.0.0:11434. Record in changelog.</w:t>
      </w:r>
    </w:p>
    <w:p>
      <w:pPr>
        <w:pStyle w:val="ListParagraph"/>
        <w:numPr>
          <w:ilvl w:val="0"/>
          <w:numId w:val="2"/>
        </w:numPr>
        <w:spacing w:after="80"/>
      </w:pPr>
      <w:r>
        <w:t xml:space="preserve">Add Ollama version pinning and a manual upgrade trigger to ADR-031 weekly review.</w:t>
      </w:r>
    </w:p>
    <w:p>
      <w:pPr>
        <w:pStyle w:val="ListParagraph"/>
        <w:numPr>
          <w:ilvl w:val="0"/>
          <w:numId w:val="2"/>
        </w:numPr>
        <w:spacing w:after="80"/>
      </w:pPr>
      <w:r>
        <w:t xml:space="preserve">Verify the FastAPI container outbound allowlist still permits only host.docker.internal:11434 for Ollama and nothing else.</w:t>
      </w:r>
    </w:p>
    <w:p>
      <w:pPr>
        <w:pStyle w:val="ListParagraph"/>
        <w:numPr>
          <w:ilvl w:val="0"/>
          <w:numId w:val="2"/>
        </w:numPr>
        <w:spacing w:after="80"/>
      </w:pPr>
      <w:r>
        <w:t xml:space="preserve">Document the trust-boundary change in ADR-026 with reference to this sub-decision.</w:t>
      </w:r>
    </w:p>
    <w:p>
      <w:pPr>
        <w:pStyle w:val="Heading2"/>
        <w:spacing w:after="160" w:before="200"/>
      </w:pPr>
      <w:r>
        <w:rPr>
          <w:b/>
          <w:bCs/>
        </w:rPr>
        <w:t xml:space="preserve">5.4  Sub-decision A4 — Backup destination diversity (Medium)</w:t>
      </w:r>
    </w:p>
    <w:p>
      <w:pPr>
        <w:spacing w:after="120"/>
      </w:pPr>
      <w:r>
        <w:rPr>
          <w:b w:val="false"/>
          <w:bCs w:val="false"/>
          <w:i w:val="false"/>
          <w:iCs w:val="false"/>
        </w:rPr>
        <w:t xml:space="preserve">Finding M1. iCloud Drive is the sole remote backup destination per ADR-019. Three weaknesses: iCloud sync lag is not alerted on (only pg_dump failure is); Apple account suspension or lockout removes all remote copies; no versioning, so a corrupted dump overwrites yesterday's known-good file.</w:t>
      </w:r>
    </w:p>
    <w:p>
      <w:pPr>
        <w:pStyle w:val="Heading3"/>
        <w:spacing w:after="120" w:before="180"/>
      </w:pPr>
      <w:r>
        <w:rPr>
          <w:b/>
          <w:bCs/>
        </w:rPr>
        <w:t xml:space="preserve">5.4.1  Options considered</w:t>
      </w:r>
    </w:p>
    <w:p>
      <w:pPr>
        <w:pStyle w:val="ListParagraph"/>
        <w:numPr>
          <w:ilvl w:val="0"/>
          <w:numId w:val="2"/>
        </w:numPr>
        <w:spacing w:after="80"/>
      </w:pPr>
      <w:r>
        <w:t xml:space="preserve">Option 1 — Add a second destination. Backblaze B2 with lifecycle retention rules. Approximately $1/month at expected volume. Introduces a vendor account and an API credential.</w:t>
      </w:r>
    </w:p>
    <w:p>
      <w:pPr>
        <w:pStyle w:val="ListParagraph"/>
        <w:numPr>
          <w:ilvl w:val="0"/>
          <w:numId w:val="2"/>
        </w:numPr>
        <w:spacing w:after="80"/>
      </w:pPr>
      <w:r>
        <w:t xml:space="preserve">Option 2 — Verify iCloud sync, accept single-destination. Add a cron job that checks the backup file appears on a second device within N hours; alert if not. Keeps the stack simple; still single-vendor.</w:t>
      </w:r>
    </w:p>
    <w:p>
      <w:pPr>
        <w:pStyle w:val="ListParagraph"/>
        <w:numPr>
          <w:ilvl w:val="0"/>
          <w:numId w:val="2"/>
        </w:numPr>
        <w:spacing w:after="80"/>
      </w:pPr>
      <w:r>
        <w:t xml:space="preserve">Option 3 — Local external disk rotation. Attach a USB drive; rotate weekly. Operator-dependent; no off-site protection for fire or theft.</w:t>
      </w:r>
    </w:p>
    <w:p>
      <w:pPr>
        <w:pStyle w:val="Heading3"/>
        <w:spacing w:after="120" w:before="180"/>
      </w:pPr>
      <w:r>
        <w:rPr>
          <w:b/>
          <w:bCs/>
        </w:rPr>
        <w:t xml:space="preserve">5.4.2  Status</w:t>
      </w:r>
    </w:p>
    <w:p>
      <w:pPr>
        <w:spacing w:after="120"/>
      </w:pPr>
      <w:r>
        <w:rPr>
          <w:b w:val="false"/>
          <w:bCs w:val="false"/>
          <w:i w:val="false"/>
          <w:iCs w:val="false"/>
        </w:rPr>
        <w:t xml:space="preserve">OPEN. Option 1 is preferred. Implementation deferred to Mac Studio setup day when the backup cron job is already being rewritten.</w:t>
      </w:r>
    </w:p>
    <w:p>
      <w:pPr>
        <w:pStyle w:val="Heading2"/>
        <w:spacing w:after="160" w:before="200"/>
      </w:pPr>
      <w:r>
        <w:rPr>
          <w:b/>
          <w:bCs/>
        </w:rPr>
        <w:t xml:space="preserve">5.5  Sub-decision A5 — Notification path redundancy (Medium)</w:t>
      </w:r>
    </w:p>
    <w:p>
      <w:pPr>
        <w:spacing w:after="120"/>
      </w:pPr>
      <w:r>
        <w:rPr>
          <w:b w:val="false"/>
          <w:bCs w:val="false"/>
          <w:i w:val="false"/>
          <w:iCs w:val="false"/>
        </w:rPr>
        <w:t xml:space="preserve">Finding M3. Every operator approval, security alert, and budget alert flows through Telegram. ADR-028 claims NIST MET on the basis of Telegram availability. A Telegram outage during a high-severity event drops the alert. The IR runbook assumes Telegram is reachable.</w:t>
      </w:r>
    </w:p>
    <w:p>
      <w:pPr>
        <w:pStyle w:val="Heading3"/>
        <w:spacing w:after="120" w:before="180"/>
      </w:pPr>
      <w:r>
        <w:rPr>
          <w:b/>
          <w:bCs/>
        </w:rPr>
        <w:t xml:space="preserve">5.5.1  Options considered</w:t>
      </w:r>
    </w:p>
    <w:p>
      <w:pPr>
        <w:pStyle w:val="ListParagraph"/>
        <w:numPr>
          <w:ilvl w:val="0"/>
          <w:numId w:val="2"/>
        </w:numPr>
        <w:spacing w:after="80"/>
      </w:pPr>
      <w:r>
        <w:t xml:space="preserve">Option 1 — Email fallback to a non-iCloud mailbox. Simple; adds an SMTP credential.</w:t>
      </w:r>
    </w:p>
    <w:p>
      <w:pPr>
        <w:pStyle w:val="ListParagraph"/>
        <w:numPr>
          <w:ilvl w:val="0"/>
          <w:numId w:val="2"/>
        </w:numPr>
        <w:spacing w:after="80"/>
      </w:pPr>
      <w:r>
        <w:t xml:space="preserve">Option 2 — Pushover or ntfy.sh secondary channel. Single-purpose push services; very small egress cost; independent of Telegram.</w:t>
      </w:r>
    </w:p>
    <w:p>
      <w:pPr>
        <w:pStyle w:val="ListParagraph"/>
        <w:numPr>
          <w:ilvl w:val="0"/>
          <w:numId w:val="2"/>
        </w:numPr>
        <w:spacing w:after="80"/>
      </w:pPr>
      <w:r>
        <w:t xml:space="preserve">Option 3 — Accept the dependency. Document in residual risks; no implementation change.</w:t>
      </w:r>
    </w:p>
    <w:p>
      <w:pPr>
        <w:pStyle w:val="Heading3"/>
        <w:spacing w:after="120" w:before="180"/>
      </w:pPr>
      <w:r>
        <w:rPr>
          <w:b/>
          <w:bCs/>
        </w:rPr>
        <w:t xml:space="preserve">5.5.2  Status</w:t>
      </w:r>
    </w:p>
    <w:p>
      <w:pPr>
        <w:spacing w:after="120"/>
      </w:pPr>
      <w:r>
        <w:rPr>
          <w:b w:val="false"/>
          <w:bCs w:val="false"/>
          <w:i w:val="false"/>
          <w:iCs w:val="false"/>
        </w:rPr>
        <w:t xml:space="preserve">OPEN. Option 2 is leading. Critical-severity alerts would fan out to both Telegram and ntfy.sh; high-and-below remain Telegram-only. Quiet-hours rules apply to both channels.</w:t>
      </w:r>
    </w:p>
    <w:p>
      <w:pPr>
        <w:pStyle w:val="Heading2"/>
        <w:spacing w:after="160" w:before="200"/>
      </w:pPr>
      <w:r>
        <w:rPr>
          <w:b/>
          <w:bCs/>
        </w:rPr>
        <w:t xml:space="preserve">5.6  Sub-decision A6 — Project knowledge refresh cadence (Medium)</w:t>
      </w:r>
    </w:p>
    <w:p>
      <w:pPr>
        <w:spacing w:after="120"/>
      </w:pPr>
      <w:r>
        <w:rPr>
          <w:b w:val="false"/>
          <w:bCs w:val="false"/>
          <w:i w:val="false"/>
          <w:iCs w:val="false"/>
        </w:rPr>
        <w:t xml:space="preserve">Finding from Session 20 close-out (Entry #009 Open Items, Item 3). Files in Anthropic project knowledge drift behind files on local disk over the course of a session and across sessions. Two concrete instances logged: during Session 20 review, main.py in project knowledge was 228 lines behind disk, and migration_003.sql was in project knowledge but missing on disk. Session 19 review (HIGH-2) flagged the same pattern for CURRENT_STATE.md and CODE_REFERENCE.md. ADR-031 does not currently specify any cadence for refreshing project knowledge against the local disk. The result is that pre-session and adversarial reviews operate against stale artifacts, and the gap is invisible until someone notices a specific file is wrong. This is a process gap, not a code gap.</w:t>
      </w:r>
    </w:p>
    <w:p>
      <w:pPr>
        <w:pStyle w:val="Heading3"/>
        <w:spacing w:after="120" w:before="180"/>
      </w:pPr>
      <w:r>
        <w:rPr>
          <w:b/>
          <w:bCs/>
        </w:rPr>
        <w:t xml:space="preserve">5.6.1  Options considered</w:t>
      </w:r>
    </w:p>
    <w:p>
      <w:pPr>
        <w:pStyle w:val="ListParagraph"/>
        <w:numPr>
          <w:ilvl w:val="0"/>
          <w:numId w:val="2"/>
        </w:numPr>
        <w:spacing w:after="80"/>
      </w:pPr>
      <w:r>
        <w:t xml:space="preserve">Option 1 — End-of-session refresh as a closing ritual step. Add a numbered step to the existing session-closing ritual: after git push, re-upload the canonical file set to project knowledge. Pros: cadence is tied to a step that already happens. Cons: requires a defined file set; manual upload of many files is friction-heavy and easily skipped on a tired session close.</w:t>
      </w:r>
    </w:p>
    <w:p>
      <w:pPr>
        <w:pStyle w:val="ListParagraph"/>
        <w:numPr>
          <w:ilvl w:val="0"/>
          <w:numId w:val="2"/>
        </w:numPr>
        <w:spacing w:after="80"/>
      </w:pPr>
      <w:r>
        <w:t xml:space="preserve">Option 2 — Weekly refresh tied to ADR-031 Sunday digest. Once per week, on Sunday, re-upload the canonical file set. Pros: bounded to one named cadence already in ADR-031; one weekly action, not a per-session action. Cons: any review run mid-week operates on up to seven days of drift.</w:t>
      </w:r>
    </w:p>
    <w:p>
      <w:pPr>
        <w:pStyle w:val="ListParagraph"/>
        <w:numPr>
          <w:ilvl w:val="0"/>
          <w:numId w:val="2"/>
        </w:numPr>
        <w:spacing w:after="80"/>
      </w:pPr>
      <w:r>
        <w:t xml:space="preserve">Option 3 — Drift-triggered refresh. Refresh only when a review surfaces a stale file. Pros: zero standing overhead. Cons: this is effectively the current state, which produced the finding; reactive cadence accepts that every adversarial or pre-session review will start with at least one stale-file disclosure.</w:t>
      </w:r>
    </w:p>
    <w:p>
      <w:pPr>
        <w:pStyle w:val="ListParagraph"/>
        <w:numPr>
          <w:ilvl w:val="0"/>
          <w:numId w:val="2"/>
        </w:numPr>
        <w:spacing w:after="80"/>
      </w:pPr>
      <w:r>
        <w:t xml:space="preserve">Option 4 — Defined canonical file set with combined cadence. Combine Option 1 and Option 2: define the canonical file set once, weekly Sunday refresh as the primary required cadence, end-of-session refresh as an opportunistic step for files modified that session. Pros: weekly cadence is the load-bearing rule and slots into the existing ADR-031 Sunday rhythm; end-of-session refresh reduces typical drift to hours rather than days when it happens, but is not relied upon. Cons: requires defining the canonical file set; that list becomes a recurring maintenance obligation as new projects and modules are added.</w:t>
      </w:r>
    </w:p>
    <w:p>
      <w:pPr>
        <w:pStyle w:val="Heading3"/>
        <w:spacing w:after="120" w:before="180"/>
      </w:pPr>
      <w:r>
        <w:rPr>
          <w:b/>
          <w:bCs/>
        </w:rPr>
        <w:t xml:space="preserve">5.6.2  Status</w:t>
      </w:r>
    </w:p>
    <w:p>
      <w:pPr>
        <w:spacing w:after="120"/>
      </w:pPr>
      <w:r>
        <w:rPr>
          <w:b w:val="false"/>
          <w:bCs w:val="false"/>
          <w:i w:val="false"/>
          <w:iCs w:val="false"/>
        </w:rPr>
        <w:t xml:space="preserve">DECIDED — May 15, 2026. Option 4 selected. Weekly Sunday refresh is the primary required cadence and is added to ADR-031 as a named change-management rule. End-of-session refresh is encouraged for files modified that session but is not load-bearing; Sunday catches whatever the session close missed. Rationale: Option 3 is the current baseline, and the current baseline produced this finding. Option 1 alone is too brittle because under-rewarded ritual steps are reliably skipped. Option 2 alone leaves up to a week of drift, which is the failure mode the finding describes. Option 4 composes because the two cadences cover different failure modes — end-of-session catches files the operator remembers touching; Sunday catches files the operator did not think of as changed.</w:t>
      </w:r>
    </w:p>
    <w:p>
      <w:pPr>
        <w:pStyle w:val="Heading3"/>
        <w:spacing w:after="120" w:before="180"/>
      </w:pPr>
      <w:r>
        <w:rPr>
          <w:b/>
          <w:bCs/>
        </w:rPr>
        <w:t xml:space="preserve">5.6.3  Remediation tasks</w:t>
      </w:r>
    </w:p>
    <w:p>
      <w:pPr>
        <w:pStyle w:val="ListParagraph"/>
        <w:numPr>
          <w:ilvl w:val="0"/>
          <w:numId w:val="2"/>
        </w:numPr>
        <w:spacing w:after="80"/>
      </w:pPr>
      <w:r>
        <w:t xml:space="preserve">Define the canonical file set explicitly. Record as a named list in §5.6.4 below. Provisional list: all app/*.py, schema.sql, current migration file(s), changelog.md, docker-compose.yml, .env.example, and active project markdown documents (*_CURRENT_STATE.md, *_DECISIONS.md, *_CODE_REFERENCE.md, *_KNOWLEDGE.md) for each active project. ADR documents uploaded once at creation; refresh only on amendment. — DONE May 17, 2026 (§5.6.4 populated this revision).</w:t>
      </w:r>
    </w:p>
    <w:p>
      <w:pPr>
        <w:pStyle w:val="ListParagraph"/>
        <w:numPr>
          <w:ilvl w:val="0"/>
          <w:numId w:val="2"/>
        </w:numPr>
        <w:spacing w:after="80"/>
      </w:pPr>
      <w:r>
        <w:t xml:space="preserve">Amend ADR-031 to add the weekly Sunday refresh as a named change-management rule. Placement (§8 changelog entry requirements vs. new §X project knowledge cadence) decided when ADR-031 is opened for amendment. — DONE May 17, 2026 (ADR-031 §5 amended).</w:t>
      </w:r>
    </w:p>
    <w:p>
      <w:pPr>
        <w:pStyle w:val="ListParagraph"/>
        <w:numPr>
          <w:ilvl w:val="0"/>
          <w:numId w:val="2"/>
        </w:numPr>
        <w:spacing w:after="80"/>
      </w:pPr>
      <w:r>
        <w:t xml:space="preserve">Amend ADR-031 to add canonical-file-set maintenance as a change trigger. Any new project, new app module, or removal of an existing canonical file requires updating the §5.6.4 list and a corresponding changelog entry. — DONE May 17, 2026 (ADR-031 §3.7 added).</w:t>
      </w:r>
    </w:p>
    <w:p>
      <w:pPr>
        <w:pStyle w:val="ListParagraph"/>
        <w:numPr>
          <w:ilvl w:val="0"/>
          <w:numId w:val="2"/>
        </w:numPr>
        <w:spacing w:after="80"/>
      </w:pPr>
      <w:r>
        <w:t xml:space="preserve">Add the end-of-session refresh as an opportunistic step in the session-closing ritual documentation (memory entry and/or equivalent operational documentation). — DONE May 17, 2026.</w:t>
      </w:r>
    </w:p>
    <w:p>
      <w:pPr>
        <w:pStyle w:val="ListParagraph"/>
        <w:numPr>
          <w:ilvl w:val="0"/>
          <w:numId w:val="2"/>
        </w:numPr>
        <w:spacing w:after="80"/>
      </w:pPr>
      <w:r>
        <w:t xml:space="preserve">Optional: stub a refresh_pk.sh helper that lists canonical files and opens the relevant Claude.ai project URL in browser. Reduces friction; does not automate (no project-knowledge API exposed by Anthropic). — OPEN. Tracked as Phase 1.5 item per ADR-031 §12.</w:t>
      </w:r>
    </w:p>
    <w:p>
      <w:pPr>
        <w:pStyle w:val="Heading3"/>
        <w:spacing w:after="120" w:before="180"/>
      </w:pPr>
      <w:r>
        <w:rPr>
          <w:b/>
          <w:bCs/>
        </w:rPr>
        <w:t xml:space="preserve">5.6.4  Canonical file set</w:t>
      </w:r>
    </w:p>
    <w:p>
      <w:pPr>
        <w:spacing w:after="120"/>
      </w:pPr>
      <w:r>
        <w:rPr>
          <w:b w:val="false"/>
          <w:bCs w:val="false"/>
          <w:i w:val="false"/>
          <w:iCs w:val="false"/>
        </w:rPr>
        <w:t xml:space="preserve">Populated May 17, 2026. The following files compose the canonical set subject to the weekly Sunday project-knowledge refresh defined in ADR-031 §5 and to the change-trigger rule in ADR-031 §3.7. ADR documents are uploaded once at creation and refreshed only when amended; they are not included in the weekly refresh list.</w:t>
      </w:r>
    </w:p>
    <w:p>
      <w:pPr>
        <w:spacing w:after="120"/>
      </w:pPr>
      <w:r>
        <w:rPr>
          <w:b/>
          <w:bCs/>
          <w:i w:val="false"/>
          <w:iCs w:val="false"/>
        </w:rPr>
        <w:t xml:space="preserve">Code — app/ Python modules (all .py files in the directory):</w:t>
      </w:r>
    </w:p>
    <w:p>
      <w:pPr>
        <w:pStyle w:val="ListParagraph"/>
        <w:numPr>
          <w:ilvl w:val="0"/>
          <w:numId w:val="2"/>
        </w:numPr>
        <w:spacing w:after="80"/>
      </w:pPr>
      <w:r>
        <w:t xml:space="preserve">app/audit.py</w:t>
      </w:r>
    </w:p>
    <w:p>
      <w:pPr>
        <w:pStyle w:val="ListParagraph"/>
        <w:numPr>
          <w:ilvl w:val="0"/>
          <w:numId w:val="2"/>
        </w:numPr>
        <w:spacing w:after="80"/>
      </w:pPr>
      <w:r>
        <w:t xml:space="preserve">app/config.py</w:t>
      </w:r>
    </w:p>
    <w:p>
      <w:pPr>
        <w:pStyle w:val="ListParagraph"/>
        <w:numPr>
          <w:ilvl w:val="0"/>
          <w:numId w:val="2"/>
        </w:numPr>
        <w:spacing w:after="80"/>
      </w:pPr>
      <w:r>
        <w:t xml:space="preserve">app/db.py</w:t>
      </w:r>
    </w:p>
    <w:p>
      <w:pPr>
        <w:pStyle w:val="ListParagraph"/>
        <w:numPr>
          <w:ilvl w:val="0"/>
          <w:numId w:val="2"/>
        </w:numPr>
        <w:spacing w:after="80"/>
      </w:pPr>
      <w:r>
        <w:t xml:space="preserve">app/interceptor.py</w:t>
      </w:r>
    </w:p>
    <w:p>
      <w:pPr>
        <w:pStyle w:val="ListParagraph"/>
        <w:numPr>
          <w:ilvl w:val="0"/>
          <w:numId w:val="2"/>
        </w:numPr>
        <w:spacing w:after="80"/>
      </w:pPr>
      <w:r>
        <w:t xml:space="preserve">app/llm.py</w:t>
      </w:r>
    </w:p>
    <w:p>
      <w:pPr>
        <w:pStyle w:val="ListParagraph"/>
        <w:numPr>
          <w:ilvl w:val="0"/>
          <w:numId w:val="2"/>
        </w:numPr>
        <w:spacing w:after="80"/>
      </w:pPr>
      <w:r>
        <w:t xml:space="preserve">app/main.py</w:t>
      </w:r>
    </w:p>
    <w:p>
      <w:pPr>
        <w:pStyle w:val="ListParagraph"/>
        <w:numPr>
          <w:ilvl w:val="0"/>
          <w:numId w:val="2"/>
        </w:numPr>
        <w:spacing w:after="80"/>
      </w:pPr>
      <w:r>
        <w:t xml:space="preserve">app/models.py</w:t>
      </w:r>
    </w:p>
    <w:p>
      <w:pPr>
        <w:pStyle w:val="ListParagraph"/>
        <w:numPr>
          <w:ilvl w:val="0"/>
          <w:numId w:val="2"/>
        </w:numPr>
        <w:spacing w:after="80"/>
      </w:pPr>
      <w:r>
        <w:t xml:space="preserve">app/security.py</w:t>
      </w:r>
    </w:p>
    <w:p>
      <w:pPr>
        <w:pStyle w:val="ListParagraph"/>
        <w:numPr>
          <w:ilvl w:val="0"/>
          <w:numId w:val="2"/>
        </w:numPr>
        <w:spacing w:after="80"/>
      </w:pPr>
      <w:r>
        <w:t xml:space="preserve">app/session_loader.py</w:t>
      </w:r>
    </w:p>
    <w:p>
      <w:pPr>
        <w:pStyle w:val="ListParagraph"/>
        <w:numPr>
          <w:ilvl w:val="0"/>
          <w:numId w:val="2"/>
        </w:numPr>
        <w:spacing w:after="80"/>
      </w:pPr>
      <w:r>
        <w:t xml:space="preserve">app/telegram_bot.py</w:t>
      </w:r>
    </w:p>
    <w:p>
      <w:pPr>
        <w:spacing w:after="120"/>
      </w:pPr>
      <w:r>
        <w:rPr>
          <w:b/>
          <w:bCs/>
          <w:i w:val="false"/>
          <w:iCs w:val="false"/>
        </w:rPr>
        <w:t xml:space="preserve">Code — app/scheduling/ Python modules:</w:t>
      </w:r>
    </w:p>
    <w:p>
      <w:pPr>
        <w:pStyle w:val="ListParagraph"/>
        <w:numPr>
          <w:ilvl w:val="0"/>
          <w:numId w:val="2"/>
        </w:numPr>
        <w:spacing w:after="80"/>
      </w:pPr>
      <w:r>
        <w:t xml:space="preserve">app/scheduling/__init__.py (if present)</w:t>
      </w:r>
    </w:p>
    <w:p>
      <w:pPr>
        <w:pStyle w:val="ListParagraph"/>
        <w:numPr>
          <w:ilvl w:val="0"/>
          <w:numId w:val="2"/>
        </w:numPr>
        <w:spacing w:after="80"/>
      </w:pPr>
      <w:r>
        <w:t xml:space="preserve">app/scheduling/jobs.py</w:t>
      </w:r>
    </w:p>
    <w:p>
      <w:pPr>
        <w:pStyle w:val="ListParagraph"/>
        <w:numPr>
          <w:ilvl w:val="0"/>
          <w:numId w:val="2"/>
        </w:numPr>
        <w:spacing w:after="80"/>
      </w:pPr>
      <w:r>
        <w:t xml:space="preserve">app/scheduling/scheduler.py</w:t>
      </w:r>
    </w:p>
    <w:p>
      <w:pPr>
        <w:spacing w:after="120"/>
      </w:pPr>
      <w:r>
        <w:rPr>
          <w:b/>
          <w:bCs/>
          <w:i w:val="false"/>
          <w:iCs w:val="false"/>
        </w:rPr>
        <w:t xml:space="preserve">Code — app/scheduling/scrapers/ Python modules (pattern: refresh all .py files in the directory at each cadence; new scrapers join automatically):</w:t>
      </w:r>
    </w:p>
    <w:p>
      <w:pPr>
        <w:pStyle w:val="ListParagraph"/>
        <w:numPr>
          <w:ilvl w:val="0"/>
          <w:numId w:val="2"/>
        </w:numPr>
        <w:spacing w:after="80"/>
      </w:pPr>
      <w:r>
        <w:t xml:space="preserve">app/scheduling/scrapers/__init__.py</w:t>
      </w:r>
    </w:p>
    <w:p>
      <w:pPr>
        <w:pStyle w:val="ListParagraph"/>
        <w:numPr>
          <w:ilvl w:val="0"/>
          <w:numId w:val="2"/>
        </w:numPr>
        <w:spacing w:after="80"/>
      </w:pPr>
      <w:r>
        <w:t xml:space="preserve">app/scheduling/scrapers/base.py</w:t>
      </w:r>
    </w:p>
    <w:p>
      <w:pPr>
        <w:pStyle w:val="ListParagraph"/>
        <w:numPr>
          <w:ilvl w:val="0"/>
          <w:numId w:val="2"/>
        </w:numPr>
        <w:spacing w:after="80"/>
      </w:pPr>
      <w:r>
        <w:t xml:space="preserve">app/scheduling/scrapers/federal_register.py</w:t>
      </w:r>
    </w:p>
    <w:p>
      <w:pPr>
        <w:pStyle w:val="ListParagraph"/>
        <w:numPr>
          <w:ilvl w:val="0"/>
          <w:numId w:val="2"/>
        </w:numPr>
        <w:spacing w:after="80"/>
      </w:pPr>
      <w:r>
        <w:t xml:space="preserve">Future scrapers covered by the directory pattern (per ADR-031 §3.7 a new scraper file is a canonical-file-set addition triggering a changelog entry that updates this list).</w:t>
      </w:r>
    </w:p>
    <w:p>
      <w:pPr>
        <w:spacing w:after="120"/>
      </w:pPr>
      <w:r>
        <w:rPr>
          <w:b/>
          <w:bCs/>
          <w:i w:val="false"/>
          <w:iCs w:val="false"/>
        </w:rPr>
        <w:t xml:space="preserve">SQL — schema and current migrations:</w:t>
      </w:r>
    </w:p>
    <w:p>
      <w:pPr>
        <w:pStyle w:val="ListParagraph"/>
        <w:numPr>
          <w:ilvl w:val="0"/>
          <w:numId w:val="2"/>
        </w:numPr>
        <w:spacing w:after="80"/>
      </w:pPr>
      <w:r>
        <w:t xml:space="preserve">schema.sql</w:t>
      </w:r>
    </w:p>
    <w:p>
      <w:pPr>
        <w:pStyle w:val="ListParagraph"/>
        <w:numPr>
          <w:ilvl w:val="0"/>
          <w:numId w:val="2"/>
        </w:numPr>
        <w:spacing w:after="80"/>
      </w:pPr>
      <w:r>
        <w:t xml:space="preserve">migration_005.sql (current latest; replace this entry as migrations are added)</w:t>
      </w:r>
    </w:p>
    <w:p>
      <w:pPr>
        <w:pStyle w:val="ListParagraph"/>
        <w:numPr>
          <w:ilvl w:val="0"/>
          <w:numId w:val="2"/>
        </w:numPr>
        <w:spacing w:after="80"/>
      </w:pPr>
      <w:r>
        <w:t xml:space="preserve">tool_registry_seed.sql</w:t>
      </w:r>
    </w:p>
    <w:p>
      <w:pPr>
        <w:spacing w:after="120"/>
      </w:pPr>
      <w:r>
        <w:rPr>
          <w:b/>
          <w:bCs/>
          <w:i w:val="false"/>
          <w:iCs w:val="false"/>
        </w:rPr>
        <w:t xml:space="preserve">Infrastructure and configuration:</w:t>
      </w:r>
    </w:p>
    <w:p>
      <w:pPr>
        <w:pStyle w:val="ListParagraph"/>
        <w:numPr>
          <w:ilvl w:val="0"/>
          <w:numId w:val="2"/>
        </w:numPr>
        <w:spacing w:after="80"/>
      </w:pPr>
      <w:r>
        <w:t xml:space="preserve">docker-compose.yml</w:t>
      </w:r>
    </w:p>
    <w:p>
      <w:pPr>
        <w:pStyle w:val="ListParagraph"/>
        <w:numPr>
          <w:ilvl w:val="0"/>
          <w:numId w:val="2"/>
        </w:numPr>
        <w:spacing w:after="80"/>
      </w:pPr>
      <w:r>
        <w:t xml:space="preserve">.env.example (per A1 remediation, when created)</w:t>
      </w:r>
    </w:p>
    <w:p>
      <w:pPr>
        <w:pStyle w:val="ListParagraph"/>
        <w:numPr>
          <w:ilvl w:val="0"/>
          <w:numId w:val="2"/>
        </w:numPr>
        <w:spacing w:after="80"/>
      </w:pPr>
      <w:r>
        <w:t xml:space="preserve">requirements.txt</w:t>
      </w:r>
    </w:p>
    <w:p>
      <w:pPr>
        <w:pStyle w:val="ListParagraph"/>
        <w:numPr>
          <w:ilvl w:val="0"/>
          <w:numId w:val="2"/>
        </w:numPr>
        <w:spacing w:after="80"/>
      </w:pPr>
      <w:r>
        <w:t xml:space="preserve">.gitignore</w:t>
      </w:r>
    </w:p>
    <w:p>
      <w:pPr>
        <w:pStyle w:val="ListParagraph"/>
        <w:numPr>
          <w:ilvl w:val="0"/>
          <w:numId w:val="2"/>
        </w:numPr>
        <w:spacing w:after="80"/>
      </w:pPr>
      <w:r>
        <w:t xml:space="preserve">.dockerignore</w:t>
      </w:r>
    </w:p>
    <w:p>
      <w:pPr>
        <w:spacing w:after="120"/>
      </w:pPr>
      <w:r>
        <w:rPr>
          <w:b/>
          <w:bCs/>
          <w:i w:val="false"/>
          <w:iCs w:val="false"/>
        </w:rPr>
        <w:t xml:space="preserve">Operations:</w:t>
      </w:r>
    </w:p>
    <w:p>
      <w:pPr>
        <w:pStyle w:val="ListParagraph"/>
        <w:numPr>
          <w:ilvl w:val="0"/>
          <w:numId w:val="2"/>
        </w:numPr>
        <w:spacing w:after="80"/>
      </w:pPr>
      <w:r>
        <w:t xml:space="preserve">changelog.md</w:t>
      </w:r>
    </w:p>
    <w:p>
      <w:pPr>
        <w:spacing w:after="120"/>
      </w:pPr>
      <w:r>
        <w:rPr>
          <w:b/>
          <w:bCs/>
          <w:i w:val="false"/>
          <w:iCs w:val="false"/>
        </w:rPr>
        <w:t xml:space="preserve">Per-project markdown — federal_policy_brief (Prototype persona):</w:t>
      </w:r>
    </w:p>
    <w:p>
      <w:pPr>
        <w:pStyle w:val="ListParagraph"/>
        <w:numPr>
          <w:ilvl w:val="0"/>
          <w:numId w:val="2"/>
        </w:numPr>
        <w:spacing w:after="80"/>
      </w:pPr>
      <w:r>
        <w:t xml:space="preserve">federal_policy_brief_CURRENT_STATE.md</w:t>
      </w:r>
    </w:p>
    <w:p>
      <w:pPr>
        <w:pStyle w:val="ListParagraph"/>
        <w:numPr>
          <w:ilvl w:val="0"/>
          <w:numId w:val="2"/>
        </w:numPr>
        <w:spacing w:after="80"/>
      </w:pPr>
      <w:r>
        <w:t xml:space="preserve">federal_policy_brief_DECISIONS.md</w:t>
      </w:r>
    </w:p>
    <w:p>
      <w:pPr>
        <w:pStyle w:val="ListParagraph"/>
        <w:numPr>
          <w:ilvl w:val="0"/>
          <w:numId w:val="2"/>
        </w:numPr>
        <w:spacing w:after="80"/>
      </w:pPr>
      <w:r>
        <w:t xml:space="preserve">federal_policy_brief_CODE_REFERENCE.md</w:t>
      </w:r>
    </w:p>
    <w:p>
      <w:pPr>
        <w:pStyle w:val="ListParagraph"/>
        <w:numPr>
          <w:ilvl w:val="0"/>
          <w:numId w:val="2"/>
        </w:numPr>
        <w:spacing w:after="80"/>
      </w:pPr>
      <w:r>
        <w:t xml:space="preserve">federal_policy_brief_KNOWLEDGE.md</w:t>
      </w:r>
    </w:p>
    <w:p>
      <w:pPr>
        <w:pStyle w:val="ListParagraph"/>
        <w:numPr>
          <w:ilvl w:val="0"/>
          <w:numId w:val="2"/>
        </w:numPr>
        <w:spacing w:after="80"/>
      </w:pPr>
      <w:r>
        <w:t xml:space="preserve">Federal_Policy_Brief_Project_Spec.docx (per-project spec; refresh on amendment, not weekly)</w:t>
      </w:r>
    </w:p>
    <w:p>
      <w:pPr>
        <w:spacing w:after="120"/>
      </w:pPr>
      <w:r>
        <w:rPr>
          <w:b w:val="false"/>
          <w:bCs w:val="false"/>
          <w:i w:val="false"/>
          <w:iCs w:val="false"/>
        </w:rPr>
        <w:t xml:space="preserve">Per-project markdown — future projects (state_policy_brief, nh_municipal_transparency, durham_politics, medical_brief, etc.): the same four-file naming pattern (*_CURRENT_STATE.md, *_DECISIONS.md, *_CODE_REFERENCE.md, *_KNOWLEDGE.md) is added to this list when the project is created. Per ADR-031 §3.7, project creation is itself a canonical-file-set maintenance trigger requiring a changelog entry that edits this list.</w:t>
      </w:r>
    </w:p>
    <w:p>
      <w:pPr>
        <w:spacing w:after="120"/>
      </w:pPr>
      <w:r>
        <w:rPr>
          <w:b/>
          <w:bCs/>
          <w:i w:val="false"/>
          <w:iCs w:val="false"/>
        </w:rPr>
        <w:t xml:space="preserve">Out-of-scope (intentionally not in the canonical set):</w:t>
      </w:r>
    </w:p>
    <w:p>
      <w:pPr>
        <w:pStyle w:val="ListParagraph"/>
        <w:numPr>
          <w:ilvl w:val="0"/>
          <w:numId w:val="2"/>
        </w:numPr>
        <w:spacing w:after="80"/>
      </w:pPr>
      <w:r>
        <w:t xml:space="preserve">ADR-XXX.docx files — refreshed only when amended, per A6 §5.6.3 decision. The set is governance documents, not active configuration.</w:t>
      </w:r>
    </w:p>
    <w:p>
      <w:pPr>
        <w:pStyle w:val="ListParagraph"/>
        <w:numPr>
          <w:ilvl w:val="0"/>
          <w:numId w:val="2"/>
        </w:numPr>
        <w:spacing w:after="80"/>
      </w:pPr>
      <w:r>
        <w:t xml:space="preserve">Historical project-status documents (Mac_Mini_Project_Status_SessionN.docx) — historical artifacts; not refreshed.</w:t>
      </w:r>
    </w:p>
    <w:p>
      <w:pPr>
        <w:pStyle w:val="ListParagraph"/>
        <w:numPr>
          <w:ilvl w:val="0"/>
          <w:numId w:val="2"/>
        </w:numPr>
        <w:spacing w:after="80"/>
      </w:pPr>
      <w:r>
        <w:t xml:space="preserve">Compliance documents (Mac_Mini_NIST_800_53_Compliance.docx, IR_Runbook.docx) — refresh on amendment, not weekly.</w:t>
      </w:r>
    </w:p>
    <w:p>
      <w:pPr>
        <w:pStyle w:val="ListParagraph"/>
        <w:numPr>
          <w:ilvl w:val="0"/>
          <w:numId w:val="2"/>
        </w:numPr>
        <w:spacing w:after="80"/>
      </w:pPr>
      <w:r>
        <w:t xml:space="preserve">PDF reference materials (vendor docs, third-party guides) — static references; not refreshed.</w:t>
      </w:r>
    </w:p>
    <w:p>
      <w:pPr>
        <w:pStyle w:val="ListParagraph"/>
        <w:numPr>
          <w:ilvl w:val="0"/>
          <w:numId w:val="2"/>
        </w:numPr>
        <w:spacing w:after="80"/>
      </w:pPr>
      <w:r>
        <w:t xml:space="preserve">Backup files (*.bak.*, *.save) — already gitignored per Entry #005; never uploaded.</w:t>
      </w:r>
    </w:p>
    <w:p>
      <w:pPr>
        <w:pStyle w:val="ListParagraph"/>
        <w:numPr>
          <w:ilvl w:val="0"/>
          <w:numId w:val="2"/>
        </w:numPr>
        <w:spacing w:after="80"/>
      </w:pPr>
      <w:r>
        <w:t xml:space="preserve">Session-review markdown (Session_NN_Review_YYYY-MM-DD.md) — historical artifact, uploaded once at creation.</w:t>
      </w:r>
    </w:p>
    <w:p>
      <w:pPr>
        <w:spacing w:after="120"/>
      </w:pPr>
      <w:r>
        <w:rPr>
          <w:b w:val="false"/>
          <w:bCs w:val="false"/>
          <w:i w:val="false"/>
          <w:iCs w:val="false"/>
        </w:rPr>
        <w:t xml:space="preserve">Total active canonical files at the May 17, 2026 baseline: approximately 30 files across code, SQL, infrastructure, operations, and one active project. The list grows on each new project (4 markdown files per project) and on each new app or scraper module.</w:t>
      </w:r>
    </w:p>
    <w:p>
      <w:pPr>
        <w:pStyle w:val="Heading3"/>
        <w:spacing w:after="120" w:before="180"/>
      </w:pPr>
      <w:r>
        <w:rPr>
          <w:b/>
          <w:bCs/>
        </w:rPr>
        <w:t xml:space="preserve">5.6.5  Closure</w:t>
      </w:r>
    </w:p>
    <w:p>
      <w:pPr>
        <w:spacing w:after="120"/>
      </w:pPr>
      <w:r>
        <w:rPr>
          <w:b w:val="false"/>
          <w:bCs w:val="false"/>
          <w:i w:val="false"/>
          <w:iCs w:val="false"/>
        </w:rPr>
        <w:t xml:space="preserve">A6 is DECIDED at the architectural level. Closure of the remediation tasks is tracked via changelog entries per ADR-039 §10. As of May 17, 2026: the ADR-031 amendment, the canonical file set definition in §5.6.4, and the addition of the refresh step to the session-closing ritual were all executed in the same session and captured in a single changelog entry (Entry #012). The optional refresh_pk.sh helper remains open as a Phase 1.5 item per ADR-031 §12. A6 sub-decision is now closed in full at the architectural and remediation level except for the explicitly optional refresh_pk.sh task.</w:t>
      </w:r>
    </w:p>
    <w:p>
      <w:pPr>
        <w:pStyle w:val="Heading1"/>
        <w:spacing w:after="200" w:before="240"/>
      </w:pPr>
      <w:r>
        <w:rPr>
          <w:b/>
          <w:bCs/>
        </w:rPr>
        <w:t xml:space="preserve">6.  Category B — Execution Gaps Under Existing ADRs</w:t>
      </w:r>
    </w:p>
    <w:p>
      <w:pPr>
        <w:spacing w:after="120"/>
      </w:pPr>
      <w:r>
        <w:rPr>
          <w:b w:val="false"/>
          <w:bCs w:val="false"/>
          <w:i w:val="false"/>
          <w:iCs w:val="false"/>
        </w:rPr>
        <w:t xml:space="preserve">These findings do not require new decisions. They are work items owed under ADRs already decided. They are registered here for ADR-031 tracking; closure is recorded in the changelog entry that completes each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43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ID</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Finding</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Owning ADR</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Remediation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Backups never restore-tested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ADR-019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Execute restore drill into disposable PostgreSQL container. Confirm row counts match live. Document time. Repeat monthly. CLOSED Entry #007 (April 24, 2026).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Governance-to-feature ratio inverted (first scraper)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First scraper ships; sub-decision originally tracked in §7.3. CLOSED Entry #011 (May 17, 2026) — federal_register scraper shipped.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IR runbook never exercised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IR Runbook v1.0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One tabletop scenario per Sunday session. Update runbook with every command correction discovered.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schema.sql runs on every startup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Audit schema.sql for any non-idempotent statement. Move non-idempotent content to migration files. Add startup check comparing schema_version against expected. CLOSED Entry #006 (April 19, 2026).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Model switch (Qwen → Gemma) lacks ADR trail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 a changelog paragraph capturing the decision and criteria for future switches. Pin the exact Ollama model tag in config.</w:t>
            </w:r>
          </w:p>
        </w:tc>
      </w:tr>
    </w:tbl>
    <w:p>
      <w:pPr>
        <w:pStyle w:val="Heading1"/>
        <w:spacing w:after="200" w:before="240"/>
      </w:pPr>
      <w:r>
        <w:rPr>
          <w:b/>
          <w:bCs/>
        </w:rPr>
        <w:t xml:space="preserve">7.  Category C — Non-ADR Findings</w:t>
      </w:r>
    </w:p>
    <w:p>
      <w:pPr>
        <w:spacing w:after="120"/>
      </w:pPr>
      <w:r>
        <w:rPr>
          <w:b w:val="false"/>
          <w:bCs w:val="false"/>
          <w:i w:val="false"/>
          <w:iCs w:val="false"/>
        </w:rPr>
        <w:t xml:space="preserve">These findings do not warrant architectural decisions or execution tracking under existing ADRs. Each is handled via a different mechanism.</w:t>
      </w:r>
    </w:p>
    <w:p>
      <w:pPr>
        <w:pStyle w:val="Heading2"/>
        <w:spacing w:after="160" w:before="200"/>
      </w:pPr>
      <w:r>
        <w:rPr>
          <w:b/>
          <w:bCs/>
        </w:rPr>
        <w:t xml:space="preserve">7.1  C3 — Bus factor is one</w:t>
      </w:r>
    </w:p>
    <w:p>
      <w:pPr>
        <w:spacing w:after="120"/>
      </w:pPr>
      <w:r>
        <w:rPr>
          <w:b w:val="false"/>
          <w:bCs w:val="false"/>
          <w:i w:val="false"/>
          <w:iCs w:val="false"/>
        </w:rPr>
        <w:t xml:space="preserve">Operational artifact, not architecture. Produce a one-page unavailability document stored alongside the IR runbook. Content: Keychain master password location, OpenRouter key revocation procedure, Telegram bot shutdown steps, notification recipient list. Print and store with other important personal papers. Not an ADR.</w:t>
      </w:r>
    </w:p>
    <w:p>
      <w:pPr>
        <w:pStyle w:val="Heading2"/>
        <w:spacing w:after="160" w:before="200"/>
      </w:pPr>
      <w:r>
        <w:rPr>
          <w:b/>
          <w:bCs/>
        </w:rPr>
        <w:t xml:space="preserve">7.2  H2 — Pattern scanner is evadable</w:t>
      </w:r>
    </w:p>
    <w:p>
      <w:pPr>
        <w:spacing w:after="120"/>
      </w:pPr>
      <w:r>
        <w:rPr>
          <w:b w:val="false"/>
          <w:bCs w:val="false"/>
          <w:i w:val="false"/>
          <w:iCs w:val="false"/>
        </w:rPr>
        <w:t xml:space="preserve">This is a scope clarification to ADR-038, not a new decision. ADR-038 already describes scan_security as a flag-and-log control for most event types, not a defense. The corrective action is to update ADR-038 Section 3.2 to explicitly state that the scanner is telemetry, not a security boundary, and that downstream defenses (output validation under ADR-022, operator approval under ADR-028, network policy under ADR-030) are the actual boundaries. A note will be added to ADR-038 referencing this ADR.</w:t>
      </w:r>
    </w:p>
    <w:p>
      <w:pPr>
        <w:spacing w:after="120"/>
      </w:pPr>
      <w:r>
        <w:rPr>
          <w:b w:val="false"/>
          <w:bCs w:val="false"/>
          <w:i w:val="false"/>
          <w:iCs w:val="false"/>
        </w:rPr>
        <w:t xml:space="preserve">Additionally, retrieved ChromaDB content passed to the LLM as context is not scanned today. This is a known gap for federal_policy_brief, where scraped government and third-party policy content is the corpus. A separate Phase 1.5 task is registered: either (a) a scanner pass on retrieved chunks before prompt assembly, or (b) a structural defense where retrieved content is summarized by a separate non-tool-enabled LLM call before reaching the tool-enabled agent.</w:t>
      </w:r>
    </w:p>
    <w:p>
      <w:pPr>
        <w:pStyle w:val="Heading2"/>
        <w:spacing w:after="160" w:before="200"/>
      </w:pPr>
      <w:r>
        <w:rPr>
          <w:b/>
          <w:bCs/>
        </w:rPr>
        <w:t xml:space="preserve">7.3  H4 — Governance-to-feature ratio inverted</w:t>
      </w:r>
    </w:p>
    <w:p>
      <w:pPr>
        <w:spacing w:after="120"/>
      </w:pPr>
      <w:r>
        <w:rPr>
          <w:b w:val="false"/>
          <w:bCs w:val="false"/>
          <w:i w:val="false"/>
          <w:iCs w:val="false"/>
        </w:rPr>
        <w:t xml:space="preserve">This is a project-management finding about pacing, not an architectural weakness. The corrective action is external to the ADR system: a concrete feature deadline independent of hardware. Target: first federal_policy_brief PDF delivered to operator inbox by May 15, 2026, on whatever hardware is current. The first scraper (federalregister.gov, REST API, structured JSON) is the forcing function. If new decisions arise during the scraper build, they become new ADR sub-decisions here or new ADRs as appropriate; not a blocker on shipping.</w:t>
      </w:r>
    </w:p>
    <w:p>
      <w:pPr>
        <w:spacing w:after="120"/>
      </w:pPr>
      <w:r>
        <w:rPr>
          <w:b w:val="false"/>
          <w:bCs w:val="false"/>
          <w:i/>
          <w:iCs/>
        </w:rPr>
        <w:t xml:space="preserve">Status update — Entry #011 (May 17, 2026): first scraper shipped two days past the May 15 target. PDF delivery to operator inbox still blocked on email infrastructure (open), sender domain (open), and PDF library selection (decided May 7, 2026 as ReportLab + Platypus but not yet captured in changelog). Re-baselining of the PDF delivery target deferred to a separate session.</w:t>
      </w:r>
    </w:p>
    <w:p>
      <w:pPr>
        <w:pStyle w:val="Heading2"/>
        <w:spacing w:after="160" w:before="200"/>
      </w:pPr>
      <w:r>
        <w:rPr>
          <w:b/>
          <w:bCs/>
        </w:rPr>
        <w:t xml:space="preserve">7.4  L2 — Heredoc corruption pattern</w:t>
      </w:r>
    </w:p>
    <w:p>
      <w:pPr>
        <w:spacing w:after="120"/>
      </w:pPr>
      <w:r>
        <w:rPr>
          <w:b w:val="false"/>
          <w:bCs w:val="false"/>
          <w:i w:val="false"/>
          <w:iCs w:val="false"/>
        </w:rPr>
        <w:t xml:space="preserve">Learning already captured in project memory and in the changelog. No action required. The generalization — any shell-parsed large string should prefer `docker cp` or `-f file` — is now a working principle.</w:t>
      </w:r>
    </w:p>
    <w:p>
      <w:pPr>
        <w:pStyle w:val="Heading2"/>
        <w:spacing w:after="160" w:before="200"/>
      </w:pPr>
      <w:r>
        <w:rPr>
          <w:b/>
          <w:bCs/>
        </w:rPr>
        <w:t xml:space="preserve">7.5  Threshold escalation alerts are not persisted as security_events rows</w:t>
      </w:r>
    </w:p>
    <w:p>
      <w:pPr>
        <w:spacing w:after="120"/>
      </w:pPr>
      <w:r>
        <w:rPr>
          <w:b w:val="false"/>
          <w:bCs w:val="false"/>
          <w:i w:val="false"/>
          <w:iCs w:val="false"/>
        </w:rPr>
        <w:t xml:space="preserve">Finding from Session 20 close-out (Entry #009 Open Items, Item 4). When _record_unauthorized() in app/main.py detects that the per-IP threshold (≥5 unauthorized requests in 60 minutes from one channel_id) or the global threshold (≥10 unauthorized requests in 60 minutes across all channel_ids) has been crossed, it sends a Telegram escalation alert but does not write a security_events row representing the threshold-crossing event itself. Each underlying unauthorized request that contributed to the threshold does write its own row (per Entry #009 §1), but the escalation event — the moment the threshold was crossed and operator notification was sent — leaves no database record.</w:t>
      </w:r>
    </w:p>
    <w:p>
      <w:pPr>
        <w:spacing w:after="120"/>
      </w:pPr>
      <w:r>
        <w:rPr>
          <w:b w:val="false"/>
          <w:bCs w:val="false"/>
          <w:i w:val="false"/>
          <w:iCs w:val="false"/>
        </w:rPr>
        <w:t xml:space="preserve">This is intentional design, not a gap. Threshold escalations are notification-only: they exist to alert the operator that a pattern has emerged in the underlying events that are already audited. Persisting an additional row for the escalation itself would create a double-counting risk for any audit query that joins on event_type = 'unauthorized_user' and would require a new event_type value with no corresponding source action.</w:t>
      </w:r>
    </w:p>
    <w:p>
      <w:pPr>
        <w:spacing w:after="120"/>
      </w:pPr>
      <w:r>
        <w:rPr>
          <w:b w:val="false"/>
          <w:bCs w:val="false"/>
          <w:i w:val="false"/>
          <w:iCs w:val="false"/>
        </w:rPr>
        <w:t xml:space="preserve">However, the design choice has one consequence worth recording: audit queries cannot directly answer "how often did a threshold escalation fire" from the database. The answer must be derived by counting unauthorized_user events grouped by channel_id and 60-minute window, or by inspecting Telegram message history. For Phase 1 personal-use scale this is acceptable; for any future scale where escalation frequency itself becomes an operational metric, a separate decision is needed about whether to add a security_alerts or security_escalations table distinct from security_events.</w:t>
      </w:r>
    </w:p>
    <w:p>
      <w:pPr>
        <w:spacing w:after="120"/>
      </w:pPr>
      <w:r>
        <w:rPr>
          <w:b w:val="false"/>
          <w:bCs w:val="false"/>
          <w:i w:val="false"/>
          <w:iCs w:val="false"/>
        </w:rPr>
        <w:t xml:space="preserve">The corrective action under this ADR is documentation, not implementation. ADR-038 §6 (unauthorized_user event type) is updated to explicitly state: threshold escalations are notification-only and do not produce their own security_events rows; the underlying per-request rows are the audit record. A note is added to ADR-038 referencing this §7.5.</w:t>
      </w:r>
    </w:p>
    <w:p>
      <w:pPr>
        <w:spacing w:after="120"/>
      </w:pPr>
      <w:r>
        <w:rPr>
          <w:b w:val="false"/>
          <w:bCs w:val="false"/>
          <w:i w:val="false"/>
          <w:iCs w:val="false"/>
        </w:rPr>
        <w:t xml:space="preserve">No re-evaluation trigger is set at the accepted-risks level (§8) because this is a design clarification rather than an accepted weakness. If escalation-frequency metrics become required, that requirement itself triggers a new sub-decision.</w:t>
      </w:r>
    </w:p>
    <w:p>
      <w:pPr>
        <w:pStyle w:val="Heading1"/>
        <w:spacing w:after="200" w:before="240"/>
      </w:pPr>
      <w:r>
        <w:rPr>
          <w:b/>
          <w:bCs/>
        </w:rPr>
        <w:t xml:space="preserve">8.  Accepted Risks</w:t>
      </w:r>
    </w:p>
    <w:p>
      <w:pPr>
        <w:spacing w:after="120"/>
      </w:pPr>
      <w:r>
        <w:rPr>
          <w:b w:val="false"/>
          <w:bCs w:val="false"/>
          <w:i w:val="false"/>
          <w:iCs w:val="false"/>
        </w:rPr>
        <w:t xml:space="preserve">The following residual risks are documented and accepted at current phase and scale. Each carries a re-evaluation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Risk</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Rationale for Acceptance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Re-evaluation Trigger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Single-operator bus factor (C3)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Personal project. Unavailability doc (Section 7.1) covers the short-term case.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Any paid user onboarded to federal_policy_brief, state_policy_brief, or nh_municipal_transparency.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Shared-kernel container isolation (H1)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 1 scope is personal, no third-party data, Tailscale-only inbound.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First project handling third-party PII. Migration to Sysbox or per-persona VMs at that point.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Telegram as primary control plane (M3 partial acceptance)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After A5 adds a secondary notification path for critical alerts, residual Telegram outage risk is bounded.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Any persona with actions producing financial or compliance consequences from a missed approval.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Pattern scanner limited to operator input (H2 partial)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Retrieved-content scanning deferred to Phase 1.5 per Section 7.2.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First scraper delivering third-party content into the LLM context window.</w:t>
            </w:r>
          </w:p>
        </w:tc>
      </w:tr>
    </w:tbl>
    <w:p>
      <w:pPr>
        <w:pStyle w:val="Heading1"/>
        <w:spacing w:after="200" w:before="240"/>
      </w:pPr>
      <w:r>
        <w:rPr>
          <w:b/>
          <w:bCs/>
        </w:rPr>
        <w:t xml:space="preserve">9.  NIST 800-53 Alignment</w:t>
      </w:r>
    </w:p>
    <w:p>
      <w:pPr>
        <w:spacing w:after="120"/>
      </w:pPr>
      <w:r>
        <w:rPr>
          <w:b w:val="false"/>
          <w:bCs w:val="false"/>
          <w:i w:val="false"/>
          <w:iCs w:val="false"/>
        </w:rPr>
        <w:t xml:space="preserve">This ADR touches controls across three families. Closure of the sub-decisions in Section 5 and the remediation items in Section 6 moves several controls from PARTIAL toward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Control</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Title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Change After ADR-039 Closure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Mechanism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CM-3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Configuration Change Control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IMPROVED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L1 model switch gains ADR trail. Sub-decision A3 documents native Ollama trust boundary. A6 adds project-knowledge refresh cadence.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CP-9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System Backup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IMPROVED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C2 restore test verifies backup integrity. A4 adds destination diversity. Encrypted backups address SC-28 iCloud gap.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CP-10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System Recovery and Reconstitution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IMPROVED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H5 IR runbook tabletop exercises move IR-3 from intention to evidence.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IA-5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Authenticator Management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IMPROVED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A1 Keychain migration removes plaintext .env credentials.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IA-5(1)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Password-Based Authentication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IMPROVED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A1 confirms SSH key passphrase protection.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IR-3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Incident Response Testing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PARTIAL → MET (pending)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H5 execution closes the control. Documented exercises required.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Developer Testing and Evaluation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IMPROVED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This ADR is itself an instance of adversarial review. A6 refresh cadence reduces stale-artifact risk for future adversarial reviews. Repeat cycle to be added to ADR-031 triggers.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Protection of Information at Rest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IMPROVED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A1 encrypts backup content before iCloud write, closing the non-FileVault key-domain gap.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SC-28(1)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Cryptographic Protection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IMPROVED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A1 adds application-layer encryption using age or equivalent NIST-approved algorithm.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Malicious Code Protection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CLARIFIED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ADR-038 scanner scope explicitly narrowed (Section 7.2). Phase 1.5 retrieved-content scanning registered.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System Monitoring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MAINTAINED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reduction in monitoring posture. Additions via A5 notification redundancy.</w:t>
            </w:r>
          </w:p>
        </w:tc>
      </w:tr>
    </w:tbl>
    <w:p>
      <w:pPr>
        <w:pStyle w:val="Heading1"/>
        <w:spacing w:after="200" w:before="240"/>
      </w:pPr>
      <w:r>
        <w:rPr>
          <w:b/>
          <w:bCs/>
        </w:rPr>
        <w:t xml:space="preserve">10.  Closure Procedure</w:t>
      </w:r>
    </w:p>
    <w:p>
      <w:pPr>
        <w:spacing w:after="120"/>
      </w:pPr>
      <w:r>
        <w:rPr>
          <w:b w:val="false"/>
          <w:bCs w:val="false"/>
          <w:i w:val="false"/>
          <w:iCs w:val="false"/>
        </w:rPr>
        <w:t xml:space="preserve">ADR-039 remains OPEN until every sub-decision in Section 5 is marked DECIDED and every Section 6 remediation item is closed by a changelog entry. Section 7 items do not block closure.</w:t>
      </w:r>
    </w:p>
    <w:p>
      <w:pPr>
        <w:spacing w:after="120"/>
      </w:pPr>
      <w:r>
        <w:rPr>
          <w:b w:val="false"/>
          <w:bCs w:val="false"/>
          <w:i w:val="false"/>
          <w:iCs w:val="false"/>
        </w:rPr>
        <w:t xml:space="preserve">Closure workflow:</w:t>
      </w:r>
    </w:p>
    <w:p>
      <w:pPr>
        <w:pStyle w:val="ListParagraph"/>
        <w:numPr>
          <w:ilvl w:val="0"/>
          <w:numId w:val="2"/>
        </w:numPr>
        <w:spacing w:after="80"/>
      </w:pPr>
      <w:r>
        <w:t xml:space="preserve">Sub-decision closure: append a closure note at the end of each 5.x section recording the chosen option, the implementing changelog entry number, and the date.</w:t>
      </w:r>
    </w:p>
    <w:p>
      <w:pPr>
        <w:pStyle w:val="ListParagraph"/>
        <w:numPr>
          <w:ilvl w:val="0"/>
          <w:numId w:val="2"/>
        </w:numPr>
        <w:spacing w:after="80"/>
      </w:pPr>
      <w:r>
        <w:t xml:space="preserve">Execution item closure: append a row to a closure log at the bottom of Section 6 citing the changelog entry that completed it.</w:t>
      </w:r>
    </w:p>
    <w:p>
      <w:pPr>
        <w:pStyle w:val="ListParagraph"/>
        <w:numPr>
          <w:ilvl w:val="0"/>
          <w:numId w:val="2"/>
        </w:numPr>
        <w:spacing w:after="80"/>
      </w:pPr>
      <w:r>
        <w:t xml:space="preserve">Final ADR closure: when all above are complete, change Status in Section 1 from OPEN to DECIDED and add a closure date. Create a final changelog entry noting ADR-039 closed and list the changelog entry numbers that contributed.</w:t>
      </w:r>
    </w:p>
    <w:p>
      <w:pPr>
        <w:spacing w:after="120"/>
      </w:pPr>
      <w:r>
        <w:rPr>
          <w:b w:val="false"/>
          <w:bCs w:val="false"/>
          <w:i w:val="false"/>
          <w:iCs w:val="false"/>
        </w:rPr>
        <w:t xml:space="preserve">Target closure: all Critical and High items before first federal_policy_brief scraper ships. Medium items before Mac Studio setup day. ADR-031 weekly review tracks progress.</w:t>
      </w:r>
    </w:p>
    <w:p>
      <w:pPr>
        <w:spacing w:after="120"/>
      </w:pPr>
      <w:r>
        <w:rPr>
          <w:b w:val="false"/>
          <w:bCs w:val="false"/>
          <w:i/>
          <w:iCs/>
        </w:rPr>
        <w:t xml:space="preserve">Closure status as of May 17, 2026: Critical band — A1 DECIDED. High band — A2, A3, A5 OPEN; H2, H4 closed. Medium band — A4 OPEN; A6 DECIDED with remediation tasks closed except optional refresh_pk.sh. Section 6 — C2, M2, H4 closed; H5, L1 open. Section 7 — informational only.</w:t>
      </w:r>
    </w:p>
    <w:p>
      <w:pPr>
        <w:pStyle w:val="Heading1"/>
        <w:spacing w:after="200" w:before="240"/>
      </w:pPr>
      <w:r>
        <w:rPr>
          <w:b/>
          <w:bCs/>
        </w:rPr>
        <w:t xml:space="preserve">11.  ADR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ADR</w:t>
            </w:r>
          </w:p>
        </w:tc>
        <w:tc>
          <w:tcPr>
            <w:tcW w:type="dxa" w:w="7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Relationship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ADR-019</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Backup configuration. C2 is a verification task under this ADR. A1 and A4 modify the backup destination posture.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ADR-026</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Docker sandboxes. A2 revises the isolation claim. A3 documents the native Ollama boundary change.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ADR-028</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Operator approval. A5 adds a redundant notification path while preserving the Telegram-primary model.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ADR-029</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Audit table. No direct change. Security events continue to flow to security_events per ADR-038.</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ADR-031</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Change management. Owner of the open-items register. A3 adds Ollama upgrade trigger. H2 adds retrieved-content scanning Phase 1.5 trigger. A6 adds weekly Sunday project-knowledge refresh cadence (ADR-031 §5) and canonical-file-set maintenance trigger (ADR-031 §3.7). SA-11 adds adversarial review repeat cadence.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ADR-035</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Runtime plumbing. M2 is a bug fix under this ADR.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ADR-037</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Transcript and heartbeat. Per-project canonical markdown file naming pattern referenced by A6 §5.6.4 originates here.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ADR-038</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Security event detection. Section 7.2 clarifies scope. H2 is a narrow amendment, not a supersession. §7.5 clarifies threshold escalation behavior; ADR-038 §6 to reference this in a future amendment.</w:t>
            </w:r>
          </w:p>
        </w:tc>
      </w:tr>
    </w:tbl>
    <w:p>
      <w:pPr>
        <w:spacing w:after="60"/>
      </w:pPr>
      <w:r>
        <w:rPr>
          <w:b w:val="false"/>
          <w:bCs w:val="false"/>
          <w:i/>
          <w:iCs/>
        </w:rPr>
        <w:t xml:space="preserve">Sheldon Wheeler — OpenClaw Personal Stack</w:t>
      </w:r>
    </w:p>
    <w:p>
      <w:pPr>
        <w:spacing w:after="120"/>
      </w:pPr>
      <w:r>
        <w:rPr>
          <w:b w:val="false"/>
          <w:bCs w:val="false"/>
          <w:i/>
          <w:iCs/>
        </w:rPr>
        <w:t xml:space="preserve">ADR-039 v1.2 — Drafted April 19, 2026 — Amended May 15 and May 17, 2026 — Status OPEN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0"/>
      <w:szCs w:val="30"/>
    </w:rPr>
  </w:style>
  <w:style w:type="paragraph" w:styleId="Heading2">
    <w:name w:val="Heading 2"/>
    <w:basedOn w:val="Normal"/>
    <w:next w:val="Normal"/>
    <w:qFormat/>
    <w:pPr>
      <w:spacing w:after="160" w:before="220"/>
      <w:outlineLvl w:val="1"/>
    </w:pPr>
    <w:rPr>
      <w:rFonts w:ascii="Arial" w:cs="Arial" w:eastAsia="Arial" w:hAnsi="Arial"/>
      <w:b/>
      <w:bCs/>
      <w:sz w:val="26"/>
      <w:szCs w:val="26"/>
    </w:rPr>
  </w:style>
  <w:style w:type="paragraph" w:styleId="Heading3">
    <w:name w:val="Heading 3"/>
    <w:basedOn w:val="Normal"/>
    <w:next w:val="Normal"/>
    <w:qFormat/>
    <w:pPr>
      <w:spacing w:after="12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2026-05-17T16:26:35.929Z</dcterms:created>
  <dcterms:modified xsi:type="dcterms:W3CDTF">2026-05-17T16:26:35.929Z</dcterms:modified>
</cp:coreProperties>
</file>

<file path=docProps/custom.xml><?xml version="1.0" encoding="utf-8"?>
<Properties xmlns="http://schemas.openxmlformats.org/officeDocument/2006/custom-properties" xmlns:vt="http://schemas.openxmlformats.org/officeDocument/2006/docPropsVTypes"/>
</file>