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ADR-014</w:t>
      </w:r>
    </w:p>
    <w:p>
      <w:pPr>
        <w:spacing w:after="80"/>
        <w:jc w:val="center"/>
      </w:pPr>
      <w:r>
        <w:rPr>
          <w:b/>
          <w:bCs/>
          <w:sz w:val="26"/>
          <w:szCs w:val="26"/>
        </w:rPr>
        <w:t xml:space="preserve">Shell/Docker Guardrails</w:t>
      </w:r>
    </w:p>
    <w:p>
      <w:pPr>
        <w:spacing w:after="40"/>
        <w:jc w:val="center"/>
      </w:pPr>
      <w:r>
        <w:rPr>
          <w:i/>
          <w:iCs/>
          <w:sz w:val="20"/>
          <w:szCs w:val="20"/>
        </w:rPr>
        <w:t xml:space="preserve">OpenClaw — Phase 1    |    RECONSTRUCTED August 22, 2026    |    Status DECIDED (amended Aug 22 and Sep 29, 2026)</w:t>
      </w:r>
    </w:p>
    <w:p>
      <w:pPr>
        <w:spacing w:after="320"/>
        <w:jc w:val="center"/>
      </w:pPr>
      <w:r>
        <w:rPr>
          <w:b/>
          <w:bCs/>
          <w:color w:val="9C5700"/>
          <w:sz w:val="18"/>
          <w:szCs w:val="18"/>
        </w:rPr>
        <w:t xml:space="preserve">⚠ This document is a RECONSTRUCTION, not the original ADR-014 record. See Section 6.</w:t>
      </w:r>
    </w:p>
    <w:p>
      <w:pPr>
        <w:pStyle w:val="Heading1"/>
        <w:spacing w:after="160" w:before="320"/>
      </w:pPr>
      <w:r>
        <w:rPr>
          <w:b/>
          <w:bCs/>
          <w:sz w:val="28"/>
          <w:szCs w:val="28"/>
        </w:rPr>
        <w:t xml:space="preserve">1.  Decision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7E6E6" w:val="clear"/>
            <w:tcMar>
              <w:top w:type="dxa" w:w="100"/>
              <w:left w:type="dxa" w:w="120"/>
              <w:bottom w:type="dxa" w:w="100"/>
              <w:right w:type="dxa" w:w="120"/>
            </w:tcMar>
          </w:tcPr>
          <w:p>
            <w:r>
              <w:rPr>
                <w:b/>
                <w:bCs/>
                <w:i w:val="false"/>
                <w:iCs w:val="false"/>
              </w:rPr>
              <w:t xml:space="preserve">ADR Number</w:t>
            </w:r>
          </w:p>
        </w:tc>
        <w:tc>
          <w:tcPr>
            <w:tcW w:type="dxa" w:w="6950"/>
            <w:tcMar>
              <w:top w:type="dxa" w:w="100"/>
              <w:left w:type="dxa" w:w="120"/>
              <w:bottom w:type="dxa" w:w="100"/>
              <w:right w:type="dxa" w:w="120"/>
            </w:tcMar>
          </w:tcPr>
          <w:p>
            <w:r>
              <w:rPr>
                <w:b w:val="false"/>
                <w:bCs w:val="false"/>
                <w:i w:val="false"/>
                <w:iCs w:val="false"/>
              </w:rPr>
              <w:t xml:space="preserve">ADR-014</w:t>
            </w:r>
          </w:p>
        </w:tc>
      </w:tr>
      <w:tr>
        <w:tc>
          <w:tcPr>
            <w:tcW w:type="dxa" w:w="2400"/>
            <w:shd w:fill="E7E6E6" w:val="clear"/>
            <w:tcMar>
              <w:top w:type="dxa" w:w="100"/>
              <w:left w:type="dxa" w:w="120"/>
              <w:bottom w:type="dxa" w:w="100"/>
              <w:right w:type="dxa" w:w="120"/>
            </w:tcMar>
          </w:tcPr>
          <w:p>
            <w:r>
              <w:rPr>
                <w:b/>
                <w:bCs/>
                <w:i w:val="false"/>
                <w:iCs w:val="false"/>
              </w:rPr>
              <w:t xml:space="preserve">Title</w:t>
            </w:r>
          </w:p>
        </w:tc>
        <w:tc>
          <w:tcPr>
            <w:tcW w:type="dxa" w:w="6950"/>
            <w:tcMar>
              <w:top w:type="dxa" w:w="100"/>
              <w:left w:type="dxa" w:w="120"/>
              <w:bottom w:type="dxa" w:w="100"/>
              <w:right w:type="dxa" w:w="120"/>
            </w:tcMar>
          </w:tcPr>
          <w:p>
            <w:r>
              <w:rPr>
                <w:b w:val="false"/>
                <w:bCs w:val="false"/>
                <w:i w:val="false"/>
                <w:iCs w:val="false"/>
              </w:rPr>
              <w:t xml:space="preserve">Shell/Docker Guardrails</w:t>
            </w:r>
          </w:p>
        </w:tc>
      </w:tr>
      <w:tr>
        <w:tc>
          <w:tcPr>
            <w:tcW w:type="dxa" w:w="2400"/>
            <w:shd w:fill="E7E6E6" w:val="clear"/>
            <w:tcMar>
              <w:top w:type="dxa" w:w="100"/>
              <w:left w:type="dxa" w:w="120"/>
              <w:bottom w:type="dxa" w:w="100"/>
              <w:right w:type="dxa" w:w="120"/>
            </w:tcMar>
          </w:tcPr>
          <w:p>
            <w:r>
              <w:rPr>
                <w:b/>
                <w:bCs/>
                <w:i w:val="false"/>
                <w:iCs w:val="false"/>
              </w:rPr>
              <w:t xml:space="preserve">Status</w:t>
            </w:r>
          </w:p>
        </w:tc>
        <w:tc>
          <w:tcPr>
            <w:tcW w:type="dxa" w:w="6950"/>
            <w:tcMar>
              <w:top w:type="dxa" w:w="100"/>
              <w:left w:type="dxa" w:w="120"/>
              <w:bottom w:type="dxa" w:w="100"/>
              <w:right w:type="dxa" w:w="120"/>
            </w:tcMar>
          </w:tcPr>
          <w:p>
            <w:r>
              <w:rPr>
                <w:b w:val="false"/>
                <w:bCs w:val="false"/>
                <w:i w:val="false"/>
                <w:iCs w:val="false"/>
              </w:rPr>
              <w:t xml:space="preserve">DECIDED (amended). Originally OPEN from an unconfirmed date (no original document located); moved OPEN → RESOLVED on August 22, 2026 (Entry #021). Amended September 29, 2026 (Entry #041) to permit Claude Code auto mode under conditions — see Section 7. This reconstruction treats “RESOLVED” as equivalent to “DECIDED” in the house ADR template's vocabulary.</w:t>
            </w:r>
          </w:p>
        </w:tc>
      </w:tr>
      <w:tr>
        <w:tc>
          <w:tcPr>
            <w:tcW w:type="dxa" w:w="2400"/>
            <w:shd w:fill="E7E6E6" w:val="clear"/>
            <w:tcMar>
              <w:top w:type="dxa" w:w="100"/>
              <w:left w:type="dxa" w:w="120"/>
              <w:bottom w:type="dxa" w:w="100"/>
              <w:right w:type="dxa" w:w="120"/>
            </w:tcMar>
          </w:tcPr>
          <w:p>
            <w:r>
              <w:rPr>
                <w:b/>
                <w:bCs/>
                <w:i w:val="false"/>
                <w:iCs w:val="false"/>
              </w:rPr>
              <w:t xml:space="preserve">Deciders</w:t>
            </w:r>
          </w:p>
        </w:tc>
        <w:tc>
          <w:tcPr>
            <w:tcW w:type="dxa" w:w="6950"/>
            <w:tcMar>
              <w:top w:type="dxa" w:w="100"/>
              <w:left w:type="dxa" w:w="120"/>
              <w:bottom w:type="dxa" w:w="100"/>
              <w:right w:type="dxa" w:w="120"/>
            </w:tcMar>
          </w:tcPr>
          <w:p>
            <w:r>
              <w:rPr>
                <w:b w:val="false"/>
                <w:bCs w:val="false"/>
                <w:i w:val="false"/>
                <w:iCs w:val="false"/>
              </w:rPr>
              <w:t xml:space="preserve">Sheldon Wheeler (owner, sole operator)</w:t>
            </w:r>
          </w:p>
        </w:tc>
      </w:tr>
      <w:tr>
        <w:tc>
          <w:tcPr>
            <w:tcW w:type="dxa" w:w="2400"/>
            <w:shd w:fill="E7E6E6" w:val="clear"/>
            <w:tcMar>
              <w:top w:type="dxa" w:w="100"/>
              <w:left w:type="dxa" w:w="120"/>
              <w:bottom w:type="dxa" w:w="100"/>
              <w:right w:type="dxa" w:w="120"/>
            </w:tcMar>
          </w:tcPr>
          <w:p>
            <w:r>
              <w:rPr>
                <w:b/>
                <w:bCs/>
                <w:i w:val="false"/>
                <w:iCs w:val="false"/>
              </w:rPr>
              <w:t xml:space="preserve">ADR References</w:t>
            </w:r>
          </w:p>
        </w:tc>
        <w:tc>
          <w:tcPr>
            <w:tcW w:type="dxa" w:w="6950"/>
            <w:tcMar>
              <w:top w:type="dxa" w:w="100"/>
              <w:left w:type="dxa" w:w="120"/>
              <w:bottom w:type="dxa" w:w="100"/>
              <w:right w:type="dxa" w:w="120"/>
            </w:tcMar>
          </w:tcPr>
          <w:p>
            <w:r>
              <w:rPr>
                <w:b w:val="false"/>
                <w:bCs w:val="false"/>
                <w:i w:val="false"/>
                <w:iCs w:val="false"/>
              </w:rPr>
              <w:t xml:space="preserve">Not stated in any fragment located as of this reconstruction. Other ADRs reference ADR-014 (e.g. ADR-039 §5.6 A6 workflow assumes no shell execution), but no fragment states what ADR-014 itself references. Do not populate without the original document.</w:t>
            </w:r>
          </w:p>
        </w:tc>
      </w:tr>
      <w:tr>
        <w:tc>
          <w:tcPr>
            <w:tcW w:type="dxa" w:w="2400"/>
            <w:shd w:fill="E7E6E6" w:val="clear"/>
            <w:tcMar>
              <w:top w:type="dxa" w:w="100"/>
              <w:left w:type="dxa" w:w="120"/>
              <w:bottom w:type="dxa" w:w="100"/>
              <w:right w:type="dxa" w:w="120"/>
            </w:tcMar>
          </w:tcPr>
          <w:p>
            <w:r>
              <w:rPr>
                <w:b/>
                <w:bCs/>
                <w:i w:val="false"/>
                <w:iCs w:val="false"/>
              </w:rPr>
              <w:t xml:space="preserve">NIST Controls</w:t>
            </w:r>
          </w:p>
        </w:tc>
        <w:tc>
          <w:tcPr>
            <w:tcW w:type="dxa" w:w="6950"/>
            <w:tcMar>
              <w:top w:type="dxa" w:w="100"/>
              <w:left w:type="dxa" w:w="120"/>
              <w:bottom w:type="dxa" w:w="100"/>
              <w:right w:type="dxa" w:w="120"/>
            </w:tcMar>
          </w:tcPr>
          <w:p>
            <w:r>
              <w:rPr>
                <w:b w:val="false"/>
                <w:bCs w:val="false"/>
                <w:i w:val="false"/>
                <w:iCs w:val="false"/>
              </w:rPr>
              <w:t xml:space="preserve">NOT RECOVERED. No fragment located states a NIST 800-53 control mapping for this ADR. Left blank deliberately rather than guessed — populate only from the original document or an explicit operator decision.</w:t>
            </w:r>
          </w:p>
        </w:tc>
      </w:tr>
      <w:tr>
        <w:tc>
          <w:tcPr>
            <w:tcW w:type="dxa" w:w="2400"/>
            <w:shd w:fill="E7E6E6" w:val="clear"/>
            <w:tcMar>
              <w:top w:type="dxa" w:w="100"/>
              <w:left w:type="dxa" w:w="120"/>
              <w:bottom w:type="dxa" w:w="100"/>
              <w:right w:type="dxa" w:w="120"/>
            </w:tcMar>
          </w:tcPr>
          <w:p>
            <w:r>
              <w:rPr>
                <w:b/>
                <w:bCs/>
                <w:i w:val="false"/>
                <w:iCs w:val="false"/>
              </w:rPr>
              <w:t xml:space="preserve">Phase Scope</w:t>
            </w:r>
          </w:p>
        </w:tc>
        <w:tc>
          <w:tcPr>
            <w:tcW w:type="dxa" w:w="6950"/>
            <w:tcMar>
              <w:top w:type="dxa" w:w="100"/>
              <w:left w:type="dxa" w:w="120"/>
              <w:bottom w:type="dxa" w:w="100"/>
              <w:right w:type="dxa" w:w="120"/>
            </w:tcMar>
          </w:tcPr>
          <w:p>
            <w:r>
              <w:rPr>
                <w:b w:val="false"/>
                <w:bCs w:val="false"/>
                <w:i w:val="false"/>
                <w:iCs w:val="false"/>
              </w:rPr>
              <w:t xml:space="preserve">Phase 1 (inferred from surrounding ADRs' scope; not independently confirmed for ADR-014 itself)</w:t>
            </w:r>
          </w:p>
        </w:tc>
      </w:tr>
      <w:tr>
        <w:tc>
          <w:tcPr>
            <w:tcW w:type="dxa" w:w="2400"/>
            <w:shd w:fill="E7E6E6" w:val="clear"/>
            <w:tcMar>
              <w:top w:type="dxa" w:w="100"/>
              <w:left w:type="dxa" w:w="120"/>
              <w:bottom w:type="dxa" w:w="100"/>
              <w:right w:type="dxa" w:w="120"/>
            </w:tcMar>
          </w:tcPr>
          <w:p>
            <w:r>
              <w:rPr>
                <w:b/>
                <w:bCs/>
                <w:i w:val="false"/>
                <w:iCs w:val="false"/>
              </w:rPr>
              <w:t xml:space="preserve">Supersedes</w:t>
            </w:r>
          </w:p>
        </w:tc>
        <w:tc>
          <w:tcPr>
            <w:tcW w:type="dxa" w:w="6950"/>
            <w:tcMar>
              <w:top w:type="dxa" w:w="100"/>
              <w:left w:type="dxa" w:w="120"/>
              <w:bottom w:type="dxa" w:w="100"/>
              <w:right w:type="dxa" w:w="120"/>
            </w:tcMar>
          </w:tcPr>
          <w:p>
            <w:r>
              <w:rPr>
                <w:b w:val="false"/>
                <w:bCs w:val="false"/>
                <w:i w:val="false"/>
                <w:iCs w:val="false"/>
              </w:rPr>
              <w:t xml:space="preserve">None known</w:t>
            </w:r>
          </w:p>
        </w:tc>
      </w:tr>
    </w:tbl>
    <w:p>
      <w:pPr>
        <w:pStyle w:val="Heading1"/>
        <w:spacing w:after="160" w:before="320"/>
      </w:pPr>
      <w:r>
        <w:rPr>
          <w:b/>
          <w:bCs/>
          <w:sz w:val="28"/>
          <w:szCs w:val="28"/>
        </w:rPr>
        <w:t xml:space="preserve">2.  Problem Statement (reconstructed)</w:t>
      </w:r>
    </w:p>
    <w:p>
      <w:pPr>
        <w:spacing w:after="160"/>
      </w:pPr>
      <w:r>
        <w:rPr>
          <w:b w:val="false"/>
          <w:bCs w:val="false"/>
          <w:i w:val="false"/>
          <w:iCs w:val="false"/>
        </w:rPr>
        <w:t xml:space="preserve">OpenClaw's governing philosophy, per its Claude.ai project instructions (“Instructions v2.0, replaces March 15, 2026 founding document”), states a hard architectural boundary: no agent or LLM execution path may invoke shell, bash, or any host command execution on Sheldon's operating machine. ADR-014 is the formal decision record for that boundary — covering what triggered it, what alternatives were considered, and under what conditions (if any) it can be relaxed. None of the fragments located state the original triggering problem or alternatives considered; only the resulting rule and its later amendment survive.</w:t>
      </w:r>
    </w:p>
    <w:p>
      <w:pPr>
        <w:pStyle w:val="Heading1"/>
        <w:spacing w:after="160" w:before="320"/>
      </w:pPr>
      <w:r>
        <w:rPr>
          <w:b/>
          <w:bCs/>
          <w:sz w:val="28"/>
          <w:szCs w:val="28"/>
        </w:rPr>
        <w:t xml:space="preserve">3.  Decision (as recovered from fragments)</w:t>
      </w:r>
    </w:p>
    <w:p>
      <w:pPr>
        <w:spacing w:after="160"/>
      </w:pPr>
      <w:r>
        <w:rPr>
          <w:b w:val="false"/>
          <w:bCs w:val="false"/>
          <w:i w:val="false"/>
          <w:iCs w:val="false"/>
        </w:rPr>
        <w:t xml:space="preserve">Two fragments — independently maintained, one on the Claude.ai side and one in this repository's changelog — state the same operative rule in near-identical language, which is why this reconstruction treats it as reliable:</w:t>
      </w:r>
    </w:p>
    <w:p>
      <w:pPr>
        <w:pBdr>
          <w:left w:val="single" w:color="999999" w:sz="12" w:space="8"/>
        </w:pBdr>
        <w:spacing w:after="160"/>
        <w:ind w:left="480"/>
      </w:pPr>
      <w:r>
        <w:rPr>
          <w:i/>
          <w:iCs/>
        </w:rPr>
        <w:t xml:space="preserve">“No agent or LLM execution path may invoke shell, bash, or any host command execution on Sheldon's Mac. Tools requiring shell execution are rejected at tool_registry vetting. Host-side bash scripts are written manually by the operator only.” — Claude.ai project custom instructions / memory panel (captured August 22, 2026)</w:t>
      </w:r>
    </w:p>
    <w:p>
      <w:pPr>
        <w:pBdr>
          <w:left w:val="single" w:color="999999" w:sz="12" w:space="8"/>
        </w:pBdr>
        <w:spacing w:after="160"/>
        <w:ind w:left="480"/>
      </w:pPr>
      <w:r>
        <w:rPr>
          <w:i/>
          <w:iCs/>
        </w:rPr>
        <w:t xml:space="preserve">“The operative rule (‘no agent or LLM execution path may invoke shell, bash, or any host command execution on this Mac’) remains in force for autonomous execution.” — changelog.md, Entry #021 (August 22, 2026)</w:t>
      </w:r>
    </w:p>
    <w:p>
      <w:pPr>
        <w:spacing w:after="160"/>
      </w:pPr>
      <w:r>
        <w:rPr>
          <w:b w:val="false"/>
          <w:bCs w:val="false"/>
          <w:i w:val="false"/>
          <w:iCs w:val="false"/>
        </w:rPr>
        <w:t xml:space="preserve">On August 22, 2026 (Entry #021), the rule was amended with a narrow exception, quoted here verbatim from changelog.md:</w:t>
      </w:r>
    </w:p>
    <w:p>
      <w:pPr>
        <w:pStyle w:val="ListParagraph"/>
        <w:numPr>
          <w:ilvl w:val="0"/>
          <w:numId w:val="1"/>
        </w:numPr>
        <w:spacing w:after="80"/>
      </w:pPr>
      <w:r>
        <w:t xml:space="preserve">Claude Code in Manual permission mode is permitted — prompts before every action, operator approves each one.</w:t>
      </w:r>
    </w:p>
    <w:p>
      <w:pPr>
        <w:pStyle w:val="ListParagraph"/>
        <w:numPr>
          <w:ilvl w:val="0"/>
          <w:numId w:val="1"/>
        </w:numPr>
        <w:spacing w:after="80"/>
      </w:pPr>
      <w:r>
        <w:t xml:space="preserve">Scoped to ~/openclaw — no system-wide access.</w:t>
      </w:r>
    </w:p>
    <w:p>
      <w:pPr>
        <w:pStyle w:val="ListParagraph"/>
        <w:numPr>
          <w:ilvl w:val="0"/>
          <w:numId w:val="1"/>
        </w:numPr>
        <w:spacing w:after="80"/>
      </w:pPr>
      <w:r>
        <w:t xml:space="preserve">Auto mode must never be used — check the mode indicator at session start.</w:t>
      </w:r>
    </w:p>
    <w:p>
      <w:pPr>
        <w:pStyle w:val="ListParagraph"/>
        <w:numPr>
          <w:ilvl w:val="0"/>
          <w:numId w:val="1"/>
        </w:numPr>
        <w:spacing w:after="80"/>
      </w:pPr>
      <w:r>
        <w:t xml:space="preserve">Cowork (cloud-VM agentic execution) must never be used — decline all offers.</w:t>
      </w:r>
    </w:p>
    <w:p>
      <w:pPr>
        <w:pStyle w:val="ListParagraph"/>
        <w:numPr>
          <w:ilvl w:val="0"/>
          <w:numId w:val="1"/>
        </w:numPr>
        <w:spacing w:after="80"/>
      </w:pPr>
      <w:r>
        <w:t xml:space="preserve">The MCP filesystem server (read-only, zero execution) remains the default for conversational file reading in Claude Desktop chat.</w:t>
      </w:r>
    </w:p>
    <w:p>
      <w:pPr>
        <w:pStyle w:val="ListParagraph"/>
        <w:numPr>
          <w:ilvl w:val="0"/>
          <w:numId w:val="1"/>
        </w:numPr>
        <w:spacing w:after="80"/>
      </w:pPr>
      <w:r>
        <w:t xml:space="preserve">No agent, no scheduled job, no LLM-driven code path may invoke shell execution autonomously — the ADR-014 hard boundary still governs everything that runs without the operator in the loop.</w:t>
      </w:r>
    </w:p>
    <w:p>
      <w:pPr>
        <w:spacing w:after="160"/>
      </w:pPr>
      <w:r>
        <w:rPr>
          <w:b/>
          <w:bCs/>
          <w:i w:val="false"/>
          <w:iCs w:val="false"/>
        </w:rPr>
        <w:t xml:space="preserve">⚠ Amended September 29, 2026: the item “Auto mode must never be used” above is superseded by Section 7. The quotation is left verbatim because it is source text; Section 7 governs.</w:t>
      </w:r>
    </w:p>
    <w:p>
      <w:pPr>
        <w:pStyle w:val="ListParagraph"/>
        <w:numPr>
          <w:ilvl w:val="0"/>
          <w:numId w:val="1"/>
        </w:numPr>
        <w:spacing w:after="80"/>
      </w:pPr>
      <w:r>
        <w:t xml:space="preserve">Claude Code under Manual mode is operator-supervised execution with per-action approval — Sheldon running commands with Claude's help, not an agent running commands on its own.</w:t>
      </w:r>
    </w:p>
    <w:p>
      <w:pPr>
        <w:pStyle w:val="Heading1"/>
        <w:spacing w:after="160" w:before="320"/>
      </w:pPr>
      <w:r>
        <w:rPr>
          <w:b/>
          <w:bCs/>
          <w:sz w:val="28"/>
          <w:szCs w:val="28"/>
        </w:rPr>
        <w:t xml:space="preserve">4.  Reconstructed Timeline</w:t>
      </w:r>
    </w:p>
    <w:p>
      <w:pPr>
        <w:spacing w:after="160"/>
      </w:pPr>
      <w:r>
        <w:rPr>
          <w:b w:val="false"/>
          <w:bCs w:val="false"/>
          <w:i/>
          <w:iCs/>
        </w:rPr>
        <w:t xml:space="preserve">Built from changelog.md references. Dates and session numbers are as stated in the source; anything not explicitly dated is marked so.</w:t>
      </w:r>
    </w:p>
    <w:p>
      <w:pPr>
        <w:pStyle w:val="ListParagraph"/>
        <w:numPr>
          <w:ilvl w:val="0"/>
          <w:numId w:val="1"/>
        </w:numPr>
        <w:spacing w:after="80"/>
      </w:pPr>
      <w:r>
        <w:t xml:space="preserve">Unconfirmed date, before this repository's visible changelog history: ADR-014 established as OPEN. Tracked informally via a Claude.ai memory entry (changelog.md line 990 references “Memory #11 ... preserved verbatim as the operative answer to ADR-014 pending formal closure”) — i.e. ADR-014 had no formal document even at this point; a memory entry stood in for one.</w:t>
      </w:r>
    </w:p>
    <w:p>
      <w:pPr>
        <w:pStyle w:val="ListParagraph"/>
        <w:numPr>
          <w:ilvl w:val="0"/>
          <w:numId w:val="1"/>
        </w:numPr>
        <w:spacing w:after="80"/>
      </w:pPr>
      <w:r>
        <w:t xml:space="preserve">Multiple sessions through August 20, 2026: changelog entries repeatedly reaffirm ADR-014 as operative and OPEN, and log new access patterns against it for the record (e.g. granting the Claude desktop app read-only file access was explicitly logged as “a new access pattern” that does not cross the ADR-014 boundary, since it is file transfer, not shell execution).</w:t>
      </w:r>
    </w:p>
    <w:p>
      <w:pPr>
        <w:pStyle w:val="ListParagraph"/>
        <w:numPr>
          <w:ilvl w:val="0"/>
          <w:numId w:val="1"/>
        </w:numPr>
        <w:spacing w:after="80"/>
      </w:pPr>
      <w:r>
        <w:t xml:space="preserve">August 22, 2026, Entry #021: ADR-014 moves OPEN → RESOLVED with the Manual-mode Claude Code exception recorded in Section 3 above.</w:t>
      </w:r>
    </w:p>
    <w:p>
      <w:pPr>
        <w:pStyle w:val="ListParagraph"/>
        <w:numPr>
          <w:ilvl w:val="0"/>
          <w:numId w:val="1"/>
        </w:numPr>
        <w:spacing w:after="80"/>
      </w:pPr>
      <w:r>
        <w:t xml:space="preserve">August 22, 2026, Entry #022: a dual-clone incident (Claude Code found operating in ~/projects/mac-mini instead of the ADR-014-scoped ~/openclaw) surfaced that no repo-level guard enforces the ~/openclaw scoping — recorded as an open gap in ADR-014's enforcement, not a rule change.</w:t>
      </w:r>
    </w:p>
    <w:p>
      <w:pPr>
        <w:pStyle w:val="ListParagraph"/>
        <w:numPr>
          <w:ilvl w:val="0"/>
          <w:numId w:val="1"/>
        </w:numPr>
        <w:spacing w:after="80"/>
      </w:pPr>
      <w:r>
        <w:t xml:space="preserve">August 22, 2026, Entry #023 / ADR-042: formally records that ADR-014 has no local document in ~/openclaw — the direct trigger for this reconstruction.</w:t>
      </w:r>
    </w:p>
    <w:p>
      <w:pPr>
        <w:pStyle w:val="Heading1"/>
        <w:spacing w:after="160" w:before="320"/>
      </w:pPr>
      <w:r>
        <w:rPr>
          <w:b/>
          <w:bCs/>
          <w:sz w:val="28"/>
          <w:szCs w:val="28"/>
        </w:rPr>
        <w:t xml:space="preserve">5.  Open Items (carried into this reconstruction)</w:t>
      </w:r>
    </w:p>
    <w:p>
      <w:pPr>
        <w:pStyle w:val="ListParagraph"/>
        <w:numPr>
          <w:ilvl w:val="0"/>
          <w:numId w:val="1"/>
        </w:numPr>
        <w:spacing w:after="80"/>
      </w:pPr>
      <w:r>
        <w:t xml:space="preserve">No repo-level guard prevents a second local clone (like ~/projects/mac-mini) from silently operating outside ADR-014's ~/openclaw scope. Flagged in Entry #022; no fix implemented yet.</w:t>
      </w:r>
    </w:p>
    <w:p>
      <w:pPr>
        <w:pStyle w:val="ListParagraph"/>
        <w:numPr>
          <w:ilvl w:val="0"/>
          <w:numId w:val="1"/>
        </w:numPr>
        <w:spacing w:after="80"/>
      </w:pPr>
      <w:r>
        <w:t xml:space="preserve">NIST control mapping for ADR-014 is unrecovered (see Section 1). Every neighboring ADR in ~/openclaw carries one; this gap should be closed if the original document surfaces, or a mapping should be deliberately chosen if it does not.</w:t>
      </w:r>
    </w:p>
    <w:p>
      <w:pPr>
        <w:pStyle w:val="ListParagraph"/>
        <w:numPr>
          <w:ilvl w:val="0"/>
          <w:numId w:val="1"/>
        </w:numPr>
        <w:spacing w:after="80"/>
      </w:pPr>
      <w:r>
        <w:t xml:space="preserve">Original problem statement and alternatives-considered are unrecovered (see Section 2).</w:t>
      </w:r>
    </w:p>
    <w:p>
      <w:pPr>
        <w:pStyle w:val="ListParagraph"/>
        <w:numPr>
          <w:ilvl w:val="0"/>
          <w:numId w:val="1"/>
        </w:numPr>
        <w:spacing w:after="80"/>
      </w:pPr>
      <w:r>
        <w:t xml:space="preserve">The exact original decision date is unrecovered — fragments imply it predates August 2026 by some margin (referenced as already-established, reaffirmed-operative policy in multiple earlier sessions) but no fragment states the actual date.</w:t>
      </w:r>
    </w:p>
    <w:p>
      <w:pPr>
        <w:pStyle w:val="Heading1"/>
        <w:spacing w:after="160" w:before="320"/>
      </w:pPr>
      <w:r>
        <w:rPr>
          <w:b/>
          <w:bCs/>
          <w:sz w:val="28"/>
          <w:szCs w:val="28"/>
        </w:rPr>
        <w:t xml:space="preserve">6.  Reconstruction Provenance — read before relying on this document</w:t>
      </w:r>
    </w:p>
    <w:p>
      <w:pPr>
        <w:spacing w:after="160"/>
      </w:pPr>
      <w:r>
        <w:rPr>
          <w:b w:val="false"/>
          <w:bCs w:val="false"/>
          <w:i w:val="false"/>
          <w:iCs w:val="false"/>
        </w:rPr>
        <w:t xml:space="preserve">This document was assembled August 22, 2026 by Claude Code because ADR-014 governs Claude Code's own operating scope (per Section 3) but no original ADR-014 document could be located in any of the following places checked: ~/openclaw (local disk and Git history), ~/projects/mac-mini (the unsanctioned clone discovered the same day), Google Drive, the OneDrive “AI Build” folder's readable contents, iCloud Drive, and the ~/Downloads folder.</w:t>
      </w:r>
    </w:p>
    <w:p>
      <w:pPr>
        <w:spacing w:after="160"/>
      </w:pPr>
      <w:r>
        <w:rPr>
          <w:b w:val="false"/>
          <w:bCs w:val="false"/>
          <w:i w:val="false"/>
          <w:iCs w:val="false"/>
        </w:rPr>
        <w:t xml:space="preserve">The content above is built ENTIRELY from two sources, both quoted verbatim where marked as quotes:</w:t>
      </w:r>
    </w:p>
    <w:p>
      <w:pPr>
        <w:pStyle w:val="ListParagraph"/>
        <w:numPr>
          <w:ilvl w:val="0"/>
          <w:numId w:val="1"/>
        </w:numPr>
        <w:spacing w:after="80"/>
      </w:pPr>
      <w:r>
        <w:t xml:space="preserve">This repository's own changelog.md (Entries referencing ADR-014, verified by direct grep of the committed file).</w:t>
      </w:r>
    </w:p>
    <w:p>
      <w:pPr>
        <w:pStyle w:val="ListParagraph"/>
        <w:numPr>
          <w:ilvl w:val="0"/>
          <w:numId w:val="1"/>
        </w:numPr>
        <w:spacing w:after="80"/>
      </w:pPr>
      <w:r>
        <w:t xml:space="preserve">A saved HTML export (~/Downloads/ADRs.html, captured August 22, 2026) of a Claude.ai Project whose sidebar reads “Projects / Mac Mini” — UNCONFIRMED whether this is the project Sheldon refers to as “AI Build,” or a different/renamed project. That page's custom-instructions and memory panels were visible in the saved capture and are the source of the quotes in Section 3.</w:t>
      </w:r>
    </w:p>
    <w:p>
      <w:pPr>
        <w:spacing w:after="160"/>
      </w:pPr>
      <w:r>
        <w:rPr>
          <w:b w:val="false"/>
          <w:bCs w:val="false"/>
          <w:i w:val="false"/>
          <w:iCs w:val="false"/>
        </w:rPr>
        <w:t xml:space="preserve">Two OneDrive files — Mac_Mini_ADR_v1_3.docx and Mac_Mini_ADR_v2_6.docx — are still cloud-only placeholders as of this writing and could not be read. Their version-numbered names suggest they may be an earlier consolidated ADR document that could contain the true original ADR-014 text (and possibly ADR-003, 005, 017, 019–022, 027–030, 032, none of which have any fragment in the sources checked here). If those files are opened locally and reveal an original ADR-014, THAT document supersedes this reconstruction entirely — this file should then be marked WITHDRAWN in favor of it, not kept as a parallel copy.</w:t>
      </w:r>
    </w:p>
    <w:p>
      <w:pPr>
        <w:spacing w:after="160"/>
      </w:pPr>
      <w:r>
        <w:rPr>
          <w:b/>
          <w:bCs/>
          <w:i w:val="false"/>
          <w:iCs w:val="false"/>
        </w:rPr>
        <w:t xml:space="preserve">Fields left blank or marked NOT RECOVERED above are blank because no source material was found — they were not inferred, guessed, or filled from training data or general knowledge of similar documents. This mirrors the sourcing discipline already established for ADR-042.</w:t>
      </w:r>
    </w:p>
    <w:p>
      <w:pPr>
        <w:pStyle w:val="Heading1"/>
        <w:spacing w:after="160" w:before="320"/>
      </w:pPr>
      <w:r>
        <w:rPr>
          <w:b/>
          <w:bCs/>
          <w:sz w:val="28"/>
          <w:szCs w:val="28"/>
        </w:rPr>
        <w:t xml:space="preserve">7.  Amendment — Claude Code Auto Mode (September 29, 2026, Entry #041)</w:t>
      </w:r>
    </w:p>
    <w:p>
      <w:pPr>
        <w:spacing w:after="160"/>
      </w:pPr>
      <w:r>
        <w:rPr>
          <w:b w:val="false"/>
          <w:bCs w:val="false"/>
          <w:i w:val="false"/>
          <w:iCs w:val="false"/>
        </w:rPr>
        <w:t xml:space="preserve">Decision: Sheldon Wheeler (operator). Approved in a Claude Code session on September 29, 2026, and written into this document in Manual permission mode with per-action operator approval. Trigger: Entry #040 (September 27, 2026) recorded that the operator had deliberately used Claude Code auto mode, contradicting Section 3. This amendment brings the document into line with that decision rather than treating the practice as a breach.</w:t>
      </w:r>
    </w:p>
    <w:p>
      <w:pPr>
        <w:spacing w:after="160"/>
      </w:pPr>
      <w:r>
        <w:rPr>
          <w:b/>
          <w:bCs/>
          <w:i w:val="false"/>
          <w:iCs w:val="false"/>
        </w:rPr>
        <w:t xml:space="preserve">Claude Code auto mode is permitted under all of the following conditions:</w:t>
      </w:r>
    </w:p>
    <w:p>
      <w:pPr>
        <w:pStyle w:val="ListParagraph"/>
        <w:numPr>
          <w:ilvl w:val="0"/>
          <w:numId w:val="1"/>
        </w:numPr>
        <w:spacing w:after="80"/>
      </w:pPr>
      <w:r>
        <w:t xml:space="preserve">Operator-initiated and operator-present. Auto mode applies only to a Claude Code session the operator starts and attends. It never applies to scheduled, unattended, or agent-initiated execution.</w:t>
      </w:r>
    </w:p>
    <w:p>
      <w:pPr>
        <w:pStyle w:val="ListParagraph"/>
        <w:numPr>
          <w:ilvl w:val="0"/>
          <w:numId w:val="1"/>
        </w:numPr>
        <w:spacing w:after="80"/>
      </w:pPr>
      <w:r>
        <w:t xml:space="preserve">Core boundary unchanged. No agent, scheduled job, or LLM-driven code path may invoke shell execution autonomously. Auto mode is operator-supervised at the session level rather than per action; it is not autonomous execution.</w:t>
      </w:r>
    </w:p>
    <w:p>
      <w:pPr>
        <w:pStyle w:val="ListParagraph"/>
        <w:numPr>
          <w:ilvl w:val="0"/>
          <w:numId w:val="1"/>
        </w:numPr>
        <w:spacing w:after="80"/>
      </w:pPr>
      <w:r>
        <w:t xml:space="preserve">Scope unchanged. Execution stays within ~/openclaw. DATA_BOUNDARIES.md §2 applies in full.</w:t>
      </w:r>
    </w:p>
    <w:p>
      <w:pPr>
        <w:pStyle w:val="ListParagraph"/>
        <w:numPr>
          <w:ilvl w:val="0"/>
          <w:numId w:val="1"/>
        </w:numPr>
        <w:spacing w:after="80"/>
      </w:pPr>
      <w:r>
        <w:t xml:space="preserve">Approve-before-building still applies. New code, ADRs, and migrations are proposed in chat and confirmed by the operator before they are written. Auto mode removes the per-command prompt, not the per-decision approval.</w:t>
      </w:r>
    </w:p>
    <w:p>
      <w:pPr>
        <w:pStyle w:val="ListParagraph"/>
        <w:numPr>
          <w:ilvl w:val="0"/>
          <w:numId w:val="1"/>
        </w:numPr>
        <w:spacing w:after="80"/>
      </w:pPr>
      <w:r>
        <w:t xml:space="preserve">Outbound limited to designed pipeline behavior — the generator’s self-send SMTP connection and the Federal Register API. No other external sends.</w:t>
      </w:r>
    </w:p>
    <w:p>
      <w:pPr>
        <w:pStyle w:val="ListParagraph"/>
        <w:numPr>
          <w:ilvl w:val="0"/>
          <w:numId w:val="1"/>
        </w:numPr>
        <w:spacing w:after="80"/>
      </w:pPr>
      <w:r>
        <w:t xml:space="preserve">Cowork remains prohibited.</w:t>
      </w:r>
    </w:p>
    <w:p>
      <w:pPr>
        <w:pStyle w:val="ListParagraph"/>
        <w:numPr>
          <w:ilvl w:val="0"/>
          <w:numId w:val="1"/>
        </w:numPr>
        <w:spacing w:after="80"/>
      </w:pPr>
      <w:r>
        <w:t xml:space="preserve">Disclosure. Each changelog entry records the permission mode the session ran in.</w:t>
      </w:r>
    </w:p>
    <w:p>
      <w:pPr>
        <w:pStyle w:val="ListParagraph"/>
        <w:numPr>
          <w:ilvl w:val="0"/>
          <w:numId w:val="1"/>
        </w:numPr>
        <w:spacing w:after="80"/>
      </w:pPr>
      <w:r>
        <w:t xml:space="preserve">Governance edits that change Claude Code’s own permissions (this ADR, the execution-boundary sections of the project instructions and CURRENT_STATE.md, and .claude/settings.local.json where it widens access) are made in Manual mode. The auto-mode classifier refused this very amendment on September 29, 2026 as self-expanding permissions; that refusal is treated as correct behavior, not an obstacle.</w:t>
      </w:r>
    </w:p>
    <w:p>
      <w:pPr>
        <w:spacing w:after="160"/>
      </w:pPr>
      <w:r>
        <w:rPr>
          <w:b w:val="false"/>
          <w:bCs w:val="false"/>
          <w:i w:val="false"/>
          <w:iCs w:val="false"/>
        </w:rPr>
        <w:t xml:space="preserve">Compensating technical control (implemented the same day): the home-wide Claude Code allow rule Read(//Users/sheldonwheeler/**) was removed from .claude/settings.local.json under ADR-045 §8.2, leaving only Read(//Users/sheldonwheeler/openclaw/**). Rationale: the August 22 exception relied on per-action approval as its control; auto mode removes that, so pre-authorised reads across the home directory — including all three §2-prohibited paths — would otherwise meet no prompt. This narrows the Read tool only; shell remains unbounded by construction (ADR-045), so the ADR-045 §8.3 traversal-verb hook is still outstanding.</w:t>
      </w:r>
    </w:p>
    <w:p>
      <w:pPr>
        <w:spacing w:after="160"/>
      </w:pPr>
      <w:r>
        <w:rPr>
          <w:b w:val="false"/>
          <w:bCs w:val="false"/>
          <w:i/>
          <w:iCs/>
        </w:rPr>
        <w:t xml:space="preserve">NIST control mapping: not assigned. Consistent with Section 6, no mapping is inferred; populate only by explicit operator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2026-08-22T22:55:52.035Z</dcterms:created>
  <dcterms:modified xsi:type="dcterms:W3CDTF">2026-08-22T22:55:52.036Z</dcterms:modified>
</cp:coreProperties>
</file>

<file path=docProps/custom.xml><?xml version="1.0" encoding="utf-8"?>
<Properties xmlns="http://schemas.openxmlformats.org/officeDocument/2006/custom-properties" xmlns:vt="http://schemas.openxmlformats.org/officeDocument/2006/docPropsVTypes"/>
</file>