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ADR-002</w:t>
      </w:r>
    </w:p>
    <w:p>
      <w:pPr>
        <w:spacing w:after="160"/>
      </w:pPr>
      <w:r>
        <w:rPr>
          <w:color w:val="666666"/>
          <w:sz w:val="28"/>
          <w:szCs w:val="28"/>
        </w:rPr>
        <w:t xml:space="preserve">Hardware (Selection)</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ADR-002</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Hardware (Selection)</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Title recovered as “Hardware” / “Hardware Selection”.</w:t>
      </w:r>
    </w:p>
    <w:p>
      <w:pPr>
        <w:pStyle w:val="ListParagraph"/>
        <w:numPr>
          <w:ilvl w:val="0"/>
          <w:numId w:val="1"/>
        </w:numPr>
        <w:spacing w:after="80"/>
      </w:pPr>
      <w:r>
        <w:t xml:space="preserve">Cited by ADR-036 (§ ADR Cross-Reference): “ADR-002 | Hardware Selection. GPU MB values derived from confirmed 32 GB or 64 GB unified memory configuration.” — confirms this ADR records the operator's hardware configuration decision (Mac Mini, 32GB or 64GB unified memory).</w:t>
      </w:r>
    </w:p>
    <w:p>
      <w:pPr>
        <w:pStyle w:val="Heading1"/>
        <w:spacing w:after="140" w:before="280"/>
      </w:pPr>
      <w:r>
        <w:t xml:space="preserve">3.  What Is NOT Known</w:t>
      </w:r>
    </w:p>
    <w:p>
      <w:pPr>
        <w:pStyle w:val="ListParagraph"/>
        <w:numPr>
          <w:ilvl w:val="0"/>
          <w:numId w:val="1"/>
        </w:numPr>
        <w:spacing w:after="80"/>
      </w:pPr>
      <w:r>
        <w:t xml:space="preserve">Full decision text, rationale, exact configuration chosen, purchase date, and status are not recovered.</w:t>
      </w:r>
    </w:p>
    <w:p>
      <w:pPr>
        <w:pStyle w:val="ListParagraph"/>
        <w:numPr>
          <w:ilvl w:val="0"/>
          <w:numId w:val="1"/>
        </w:numPr>
        <w:spacing w:after="80"/>
      </w:pPr>
      <w:r>
        <w:t xml:space="preserve">Whether this ADR also covers the M4 Mac Mini upgrade path mentioned elsewhere in project history is unconfirmed.</w:t>
      </w:r>
    </w:p>
    <w:p>
      <w:pPr>
        <w:pStyle w:val="Heading1"/>
        <w:spacing w:after="140" w:before="280"/>
      </w:pPr>
      <w:r>
        <w:t xml:space="preserve">4.  Sources</w:t>
      </w:r>
    </w:p>
    <w:p>
      <w:pPr>
        <w:pStyle w:val="ListParagraph"/>
        <w:numPr>
          <w:ilvl w:val="0"/>
          <w:numId w:val="1"/>
        </w:numPr>
        <w:spacing w:after="80"/>
      </w:pPr>
      <w:r>
        <w:t xml:space="preserve">ADR_036.docx §12 (ADR Cross-Reference table), read directly 2026-08-23.</w:t>
      </w:r>
    </w:p>
    <w:p>
      <w:pPr>
        <w:pStyle w:val="ListParagraph"/>
        <w:numPr>
          <w:ilvl w:val="0"/>
          <w:numId w:val="1"/>
        </w:numPr>
        <w:spacing w:after="80"/>
      </w:pPr>
      <w:r>
        <w:t xml:space="preserve">Referenced with title only in last night's fragment-hunt README (adr_fragments_2026-08-22/README.md).</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ADR-002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2026-08-23T12:14:45.857Z</dcterms:created>
  <dcterms:modified xsi:type="dcterms:W3CDTF">2026-08-23T12:14:45.858Z</dcterms:modified>
</cp:coreProperties>
</file>

<file path=docProps/custom.xml><?xml version="1.0" encoding="utf-8"?>
<Properties xmlns="http://schemas.openxmlformats.org/officeDocument/2006/custom-properties" xmlns:vt="http://schemas.openxmlformats.org/officeDocument/2006/docPropsVTypes"/>
</file>