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ADR-003</w:t>
      </w:r>
    </w:p>
    <w:p>
      <w:pPr>
        <w:spacing w:after="160"/>
      </w:pPr>
      <w:r>
        <w:rPr>
          <w:color w:val="666666"/>
          <w:sz w:val="28"/>
          <w:szCs w:val="28"/>
        </w:rPr>
        <w:t xml:space="preserve">Model Selection</w:t>
      </w:r>
    </w:p>
    <w:p>
      <w:pPr>
        <w:pBdr>
          <w:top w:val="single" w:color="C00000" w:sz="6"/>
          <w:bottom w:val="single" w:color="C00000" w:sz="6"/>
          <w:left w:val="single" w:color="C00000" w:sz="6"/>
          <w:right w:val="single" w:color="C00000" w:sz="6"/>
        </w:pBdr>
        <w:shd w:fill="FFF2CC" w:val="clear"/>
        <w:spacing w:after="240" w:before="120"/>
      </w:pPr>
      <w:r>
        <w:rPr>
          <w:b/>
          <w:bCs/>
          <w:color w:val="C00000"/>
          <w:sz w:val="20"/>
          <w:szCs w:val="20"/>
        </w:rPr>
        <w:t xml:space="preserve">THIS IS A STUB, NOT AN ORIGINAL DOCUMENT. It contains only fragments recovered by cross-reference from other documents and live code/changelog citations. The original ADR text, full rationale, and decision date were not located anywhere checked. If the original is ever found, it supersedes this stub in full. See “What Is NOT Known” below.</w:t>
      </w:r>
    </w:p>
    <w:p>
      <w:pPr>
        <w:pStyle w:val="Heading1"/>
        <w:spacing w:after="140" w:before="280"/>
      </w:pPr>
      <w:r>
        <w:t xml:space="preserve">1.  Decision Record (Stub)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E2F3" w:val="clear"/>
            <w:tcMar>
              <w:top w:type="dxa" w:w="80"/>
              <w:left w:type="dxa" w:w="100"/>
              <w:bottom w:type="dxa" w:w="80"/>
              <w:right w:type="dxa" w:w="100"/>
            </w:tcMar>
          </w:tcPr>
          <w:p>
            <w:r>
              <w:rPr>
                <w:b/>
                <w:bCs/>
              </w:rPr>
              <w:t xml:space="preserve">ADR Number</w:t>
            </w:r>
          </w:p>
        </w:tc>
        <w:tc>
          <w:tcPr>
            <w:tcW w:type="dxa" w:w="6800"/>
            <w:tcMar>
              <w:top w:type="dxa" w:w="80"/>
              <w:left w:type="dxa" w:w="100"/>
              <w:bottom w:type="dxa" w:w="80"/>
              <w:right w:type="dxa" w:w="100"/>
            </w:tcMar>
          </w:tcPr>
          <w:p>
            <w:r>
              <w:t xml:space="preserve">ADR-003</w:t>
            </w:r>
          </w:p>
        </w:tc>
      </w:tr>
      <w:tr>
        <w:tc>
          <w:tcPr>
            <w:tcW w:type="dxa" w:w="2200"/>
            <w:shd w:fill="D9E2F3" w:val="clear"/>
            <w:tcMar>
              <w:top w:type="dxa" w:w="80"/>
              <w:left w:type="dxa" w:w="100"/>
              <w:bottom w:type="dxa" w:w="80"/>
              <w:right w:type="dxa" w:w="100"/>
            </w:tcMar>
          </w:tcPr>
          <w:p>
            <w:r>
              <w:rPr>
                <w:b/>
                <w:bCs/>
              </w:rPr>
              <w:t xml:space="preserve">Title</w:t>
            </w:r>
          </w:p>
        </w:tc>
        <w:tc>
          <w:tcPr>
            <w:tcW w:type="dxa" w:w="6800"/>
            <w:tcMar>
              <w:top w:type="dxa" w:w="80"/>
              <w:left w:type="dxa" w:w="100"/>
              <w:bottom w:type="dxa" w:w="80"/>
              <w:right w:type="dxa" w:w="100"/>
            </w:tcMar>
          </w:tcPr>
          <w:p>
            <w:r>
              <w:t xml:space="preserve">Model Selection</w:t>
            </w:r>
          </w:p>
        </w:tc>
      </w:tr>
      <w:tr>
        <w:tc>
          <w:tcPr>
            <w:tcW w:type="dxa" w:w="2200"/>
            <w:shd w:fill="D9E2F3" w:val="clear"/>
            <w:tcMar>
              <w:top w:type="dxa" w:w="80"/>
              <w:left w:type="dxa" w:w="100"/>
              <w:bottom w:type="dxa" w:w="80"/>
              <w:right w:type="dxa" w:w="100"/>
            </w:tcMar>
          </w:tcPr>
          <w:p>
            <w:r>
              <w:rPr>
                <w:b/>
                <w:bCs/>
              </w:rPr>
              <w:t xml:space="preserve">Status</w:t>
            </w:r>
          </w:p>
        </w:tc>
        <w:tc>
          <w:tcPr>
            <w:tcW w:type="dxa" w:w="6800"/>
            <w:tcMar>
              <w:top w:type="dxa" w:w="80"/>
              <w:left w:type="dxa" w:w="100"/>
              <w:bottom w:type="dxa" w:w="80"/>
              <w:right w:type="dxa" w:w="100"/>
            </w:tcMar>
          </w:tcPr>
          <w:p>
            <w:r>
              <w:t xml:space="preserve">STUB — fragments only, original not recovered</w:t>
            </w:r>
          </w:p>
        </w:tc>
      </w:tr>
      <w:tr>
        <w:tc>
          <w:tcPr>
            <w:tcW w:type="dxa" w:w="2200"/>
            <w:shd w:fill="D9E2F3" w:val="clear"/>
            <w:tcMar>
              <w:top w:type="dxa" w:w="80"/>
              <w:left w:type="dxa" w:w="100"/>
              <w:bottom w:type="dxa" w:w="80"/>
              <w:right w:type="dxa" w:w="100"/>
            </w:tcMar>
          </w:tcPr>
          <w:p>
            <w:r>
              <w:rPr>
                <w:b/>
                <w:bCs/>
              </w:rPr>
              <w:t xml:space="preserve">Deciders</w:t>
            </w:r>
          </w:p>
        </w:tc>
        <w:tc>
          <w:tcPr>
            <w:tcW w:type="dxa" w:w="6800"/>
            <w:tcMar>
              <w:top w:type="dxa" w:w="80"/>
              <w:left w:type="dxa" w:w="100"/>
              <w:bottom w:type="dxa" w:w="80"/>
              <w:right w:type="dxa" w:w="100"/>
            </w:tcMar>
          </w:tcPr>
          <w:p>
            <w:r>
              <w:t xml:space="preserve">Sheldon Wheeler (owner, sole operator) — presumed, not confirmed for this stub</w:t>
            </w:r>
          </w:p>
        </w:tc>
      </w:tr>
      <w:tr>
        <w:tc>
          <w:tcPr>
            <w:tcW w:type="dxa" w:w="2200"/>
            <w:shd w:fill="D9E2F3" w:val="clear"/>
            <w:tcMar>
              <w:top w:type="dxa" w:w="80"/>
              <w:left w:type="dxa" w:w="100"/>
              <w:bottom w:type="dxa" w:w="80"/>
              <w:right w:type="dxa" w:w="100"/>
            </w:tcMar>
          </w:tcPr>
          <w:p>
            <w:r>
              <w:rPr>
                <w:b/>
                <w:bCs/>
              </w:rPr>
              <w:t xml:space="preserve">Stub Created</w:t>
            </w:r>
          </w:p>
        </w:tc>
        <w:tc>
          <w:tcPr>
            <w:tcW w:type="dxa" w:w="6800"/>
            <w:tcMar>
              <w:top w:type="dxa" w:w="80"/>
              <w:left w:type="dxa" w:w="100"/>
              <w:bottom w:type="dxa" w:w="80"/>
              <w:right w:type="dxa" w:w="100"/>
            </w:tcMar>
          </w:tcPr>
          <w:p>
            <w:r>
              <w:t xml:space="preserve">2026-08-23</w:t>
            </w:r>
          </w:p>
        </w:tc>
      </w:tr>
      <w:tr>
        <w:tc>
          <w:tcPr>
            <w:tcW w:type="dxa" w:w="2200"/>
            <w:shd w:fill="D9E2F3" w:val="clear"/>
            <w:tcMar>
              <w:top w:type="dxa" w:w="80"/>
              <w:left w:type="dxa" w:w="100"/>
              <w:bottom w:type="dxa" w:w="80"/>
              <w:right w:type="dxa" w:w="100"/>
            </w:tcMar>
          </w:tcPr>
          <w:p>
            <w:r>
              <w:rPr>
                <w:b/>
                <w:bCs/>
              </w:rPr>
              <w:t xml:space="preserve">Supersedes</w:t>
            </w:r>
          </w:p>
        </w:tc>
        <w:tc>
          <w:tcPr>
            <w:tcW w:type="dxa" w:w="6800"/>
            <w:tcMar>
              <w:top w:type="dxa" w:w="80"/>
              <w:left w:type="dxa" w:w="100"/>
              <w:bottom w:type="dxa" w:w="80"/>
              <w:right w:type="dxa" w:w="100"/>
            </w:tcMar>
          </w:tcPr>
          <w:p>
            <w:r>
              <w:t xml:space="preserve">None. If the original ADR is located, it supersedes this stub.</w:t>
            </w:r>
          </w:p>
        </w:tc>
      </w:tr>
    </w:tbl>
    <w:p>
      <w:pPr>
        <w:spacing w:after="200"/>
      </w:pPr>
    </w:p>
    <w:p>
      <w:pPr>
        <w:pStyle w:val="Heading1"/>
        <w:spacing w:after="140" w:before="280"/>
      </w:pPr>
      <w:r>
        <w:t xml:space="preserve">2.  What Is Known</w:t>
      </w:r>
    </w:p>
    <w:p>
      <w:pPr>
        <w:pStyle w:val="ListParagraph"/>
        <w:numPr>
          <w:ilvl w:val="0"/>
          <w:numId w:val="1"/>
        </w:numPr>
        <w:spacing w:after="80"/>
      </w:pPr>
      <w:r>
        <w:t xml:space="preserve">Title recovered as “Model Selection”.</w:t>
      </w:r>
    </w:p>
    <w:p>
      <w:pPr>
        <w:pStyle w:val="ListParagraph"/>
        <w:numPr>
          <w:ilvl w:val="0"/>
          <w:numId w:val="1"/>
        </w:numPr>
        <w:spacing w:after="80"/>
      </w:pPr>
      <w:r>
        <w:t xml:space="preserve">Actively cited in live code: app/llm.py line 2 docstring — “llm.py — LLM execution router (ADR-003, ADR-021)”.</w:t>
      </w:r>
    </w:p>
    <w:p>
      <w:pPr>
        <w:pStyle w:val="Heading1"/>
        <w:spacing w:after="140" w:before="280"/>
      </w:pPr>
      <w:r>
        <w:t xml:space="preserve">3.  What Is NOT Known</w:t>
      </w:r>
    </w:p>
    <w:p>
      <w:pPr>
        <w:pStyle w:val="ListParagraph"/>
        <w:numPr>
          <w:ilvl w:val="0"/>
          <w:numId w:val="1"/>
        </w:numPr>
        <w:spacing w:after="80"/>
      </w:pPr>
      <w:r>
        <w:t xml:space="preserve">The actual model-selection decision, criteria, and alternatives considered are not recovered — only that this ADR governs the llm.py routing module jointly with ADR-021.</w:t>
      </w:r>
    </w:p>
    <w:p>
      <w:pPr>
        <w:pStyle w:val="Heading1"/>
        <w:spacing w:after="140" w:before="280"/>
      </w:pPr>
      <w:r>
        <w:t xml:space="preserve">4.  Sources</w:t>
      </w:r>
    </w:p>
    <w:p>
      <w:pPr>
        <w:pStyle w:val="ListParagraph"/>
        <w:numPr>
          <w:ilvl w:val="0"/>
          <w:numId w:val="1"/>
        </w:numPr>
        <w:spacing w:after="80"/>
      </w:pPr>
      <w:r>
        <w:t xml:space="preserve">app/llm.py, line 2 (module docstring), read directly 2026-08-23.</w:t>
      </w:r>
    </w:p>
    <w:p>
      <w:pPr>
        <w:spacing w:before="400"/>
      </w:pPr>
    </w:p>
    <w:p>
      <w:pPr>
        <w:spacing w:after="160"/>
      </w:pPr>
      <w:r>
        <w:rPr>
          <w:i/>
          <w:iCs/>
          <w:color w:val="666666"/>
          <w:sz w:val="18"/>
          <w:szCs w:val="18"/>
        </w:rPr>
        <w:t xml:space="preserve">Stub built 2026-08-23 as part of the ADR corpus reconciliation. See ADR_Corpus_Inventory_2026-08-23.xlsx and ADR_Reconciliation_Plan_2026-08-23.docx (both in adr_fragments_2026-08-22/reconciliation_2026-08-23/) for full context.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ADR-003 — STUB (partial reconstruction)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2026-08-23T12:14:45.881Z</dcterms:created>
  <dcterms:modified xsi:type="dcterms:W3CDTF">2026-08-23T12:14:45.881Z</dcterms:modified>
</cp:coreProperties>
</file>

<file path=docProps/custom.xml><?xml version="1.0" encoding="utf-8"?>
<Properties xmlns="http://schemas.openxmlformats.org/officeDocument/2006/custom-properties" xmlns:vt="http://schemas.openxmlformats.org/officeDocument/2006/docPropsVTypes"/>
</file>