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ADR-019</w:t>
      </w:r>
    </w:p>
    <w:p>
      <w:pPr>
        <w:spacing w:after="160"/>
      </w:pPr>
      <w:r>
        <w:rPr>
          <w:color w:val="666666"/>
          <w:sz w:val="28"/>
          <w:szCs w:val="28"/>
        </w:rPr>
        <w:t xml:space="preserve">Backup Strategy / Configuration</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ADR-019</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Backup Strategy / Configuration</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Governs the nightly PostgreSQL backup: §1 of the original specifies 4 AM cron under a `dev` account, writing via a dev write-only ACL (per changelog.md Entry citing “ADR-019 §1”).</w:t>
      </w:r>
    </w:p>
    <w:p>
      <w:pPr>
        <w:pStyle w:val="ListParagraph"/>
        <w:numPr>
          <w:ilvl w:val="0"/>
          <w:numId w:val="1"/>
        </w:numPr>
        <w:spacing w:after="80"/>
      </w:pPr>
      <w:r>
        <w:t xml:space="preserve">5 GB folder-size alert threshold, one-time-per-crossing via marker file (changelog.md).</w:t>
      </w:r>
    </w:p>
    <w:p>
      <w:pPr>
        <w:pStyle w:val="ListParagraph"/>
        <w:numPr>
          <w:ilvl w:val="0"/>
          <w:numId w:val="1"/>
        </w:numPr>
        <w:spacing w:after="80"/>
      </w:pPr>
      <w:r>
        <w:t xml:space="preserve">90-day retention applied to backup log files, distinct from the 30-day retention on the dump files themselves, which changelog.md attributes to ADR-031 §7 (“Applies 30-day retention to dump files (per ADR-031 §7) and 90-day retention to log files (per ADR-019)”).</w:t>
      </w:r>
    </w:p>
    <w:p>
      <w:pPr>
        <w:pStyle w:val="ListParagraph"/>
        <w:numPr>
          <w:ilvl w:val="0"/>
          <w:numId w:val="1"/>
        </w:numPr>
        <w:spacing w:after="80"/>
      </w:pPr>
      <w:r>
        <w:t xml:space="preserve">Failure alerting via Telegram on any failure stage (pg_dump_failed, pg_dump_empty, postgres_down, directory_unreachable) is treated as part of ADR-019's design in changelog.md.</w:t>
      </w:r>
    </w:p>
    <w:p>
      <w:pPr>
        <w:pStyle w:val="ListParagraph"/>
        <w:numPr>
          <w:ilvl w:val="0"/>
          <w:numId w:val="1"/>
        </w:numPr>
        <w:spacing w:after="80"/>
      </w:pPr>
      <w:r>
        <w:t xml:space="preserve">An interim deviation was explicitly logged (not an amendment) for MacBook Air hardware: launchd instead of cron, runs as `sheldonwheeler` instead of `dev`, writes to `~/Documents/Mac-Mini-Backups-Interim/` instead of `Mac-Mini-Backups/` — all three reverting on Mac Studio setup day.</w:t>
      </w:r>
    </w:p>
    <w:p>
      <w:pPr>
        <w:pStyle w:val="Heading1"/>
        <w:spacing w:after="140" w:before="280"/>
      </w:pPr>
      <w:r>
        <w:t xml:space="preserve">3.  What Is NOT Known</w:t>
      </w:r>
    </w:p>
    <w:p>
      <w:pPr>
        <w:pStyle w:val="ListParagraph"/>
        <w:numPr>
          <w:ilvl w:val="0"/>
          <w:numId w:val="1"/>
        </w:numPr>
        <w:spacing w:after="80"/>
      </w:pPr>
      <w:r>
        <w:t xml:space="preserve">The original ADR-019 document's full text, exact decision date, deciders, and NIST control mapping are not recovered — everything above is reconstructed from changelog.md's citations of it, not from the ADR itself.</w:t>
      </w:r>
    </w:p>
    <w:p>
      <w:pPr>
        <w:pStyle w:val="Heading1"/>
        <w:spacing w:after="140" w:before="280"/>
      </w:pPr>
      <w:r>
        <w:t xml:space="preserve">4.  Sources</w:t>
      </w:r>
    </w:p>
    <w:p>
      <w:pPr>
        <w:pStyle w:val="ListParagraph"/>
        <w:numPr>
          <w:ilvl w:val="0"/>
          <w:numId w:val="1"/>
        </w:numPr>
        <w:spacing w:after="80"/>
      </w:pPr>
      <w:r>
        <w:t xml:space="preserve">changelog.md, multiple entries citing “ADR-019” directly (grep, 2026-08-23) — including the interim-deviation table entry and the Session 22 backup-gap root-cause entry.</w:t>
      </w:r>
    </w:p>
    <w:p>
      <w:pPr>
        <w:pStyle w:val="ListParagraph"/>
        <w:numPr>
          <w:ilvl w:val="0"/>
          <w:numId w:val="1"/>
        </w:numPr>
        <w:spacing w:after="80"/>
      </w:pPr>
      <w:r>
        <w:t xml:space="preserve">ADR_031.docx § ADR References: “ADR-019 (Backup)”, read directly 2026-08-23.</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ADR-019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2026-08-23T12:14:45.898Z</dcterms:created>
  <dcterms:modified xsi:type="dcterms:W3CDTF">2026-08-23T12:14:45.898Z</dcterms:modified>
</cp:coreProperties>
</file>

<file path=docProps/custom.xml><?xml version="1.0" encoding="utf-8"?>
<Properties xmlns="http://schemas.openxmlformats.org/officeDocument/2006/custom-properties" xmlns:vt="http://schemas.openxmlformats.org/officeDocument/2006/docPropsVTypes"/>
</file>