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ADR-020</w:t>
      </w:r>
    </w:p>
    <w:p>
      <w:pPr>
        <w:spacing w:after="160"/>
      </w:pPr>
      <w:r>
        <w:rPr>
          <w:color w:val="666666"/>
          <w:sz w:val="28"/>
          <w:szCs w:val="28"/>
        </w:rPr>
        <w:t xml:space="preserve">Account Structure</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ADR-020</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Account Structure</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Title recovered as “Account Structure”.</w:t>
      </w:r>
    </w:p>
    <w:p>
      <w:pPr>
        <w:pStyle w:val="ListParagraph"/>
        <w:numPr>
          <w:ilvl w:val="0"/>
          <w:numId w:val="1"/>
        </w:numPr>
        <w:spacing w:after="80"/>
      </w:pPr>
      <w:r>
        <w:t xml:space="preserve">Governs a five-account split on the target hardware: admin / dev / openclaw / sheldon / spousal (changelog.md: “Five-account split (admin / dev / openclaw / sheldon / spousal) is not built on interim hardware”).</w:t>
      </w:r>
    </w:p>
    <w:p>
      <w:pPr>
        <w:pStyle w:val="ListParagraph"/>
        <w:numPr>
          <w:ilvl w:val="0"/>
          <w:numId w:val="1"/>
        </w:numPr>
        <w:spacing w:after="80"/>
      </w:pPr>
      <w:r>
        <w:t xml:space="preserve">This five-account split is the reason ADR-019's backup automation runs under a `dev` account in its canonical design — not yet built on interim MacBook Air hardware as of the citing changelog entry.</w:t>
      </w:r>
    </w:p>
    <w:p>
      <w:pPr>
        <w:pStyle w:val="Heading1"/>
        <w:spacing w:after="140" w:before="280"/>
      </w:pPr>
      <w:r>
        <w:t xml:space="preserve">3.  What Is NOT Known</w:t>
      </w:r>
    </w:p>
    <w:p>
      <w:pPr>
        <w:pStyle w:val="ListParagraph"/>
        <w:numPr>
          <w:ilvl w:val="0"/>
          <w:numId w:val="1"/>
        </w:numPr>
        <w:spacing w:after="80"/>
      </w:pPr>
      <w:r>
        <w:t xml:space="preserve">Full rationale for the five-account split, permissions detail per account, and original decision date are not recovered.</w:t>
      </w:r>
    </w:p>
    <w:p>
      <w:pPr>
        <w:pStyle w:val="Heading1"/>
        <w:spacing w:after="140" w:before="280"/>
      </w:pPr>
      <w:r>
        <w:t xml:space="preserve">4.  Sources</w:t>
      </w:r>
    </w:p>
    <w:p>
      <w:pPr>
        <w:pStyle w:val="ListParagraph"/>
        <w:numPr>
          <w:ilvl w:val="0"/>
          <w:numId w:val="1"/>
        </w:numPr>
        <w:spacing w:after="80"/>
      </w:pPr>
      <w:r>
        <w:t xml:space="preserve">changelog.md, entry documenting the ADR-019 interim deviation and its ADR-020 cross-reference (grep, 2026-08-23).</w:t>
      </w:r>
    </w:p>
    <w:p>
      <w:pPr>
        <w:pStyle w:val="ListParagraph"/>
        <w:numPr>
          <w:ilvl w:val="0"/>
          <w:numId w:val="1"/>
        </w:numPr>
        <w:spacing w:after="80"/>
      </w:pPr>
      <w:r>
        <w:t xml:space="preserve">ADR_036.docx §12: “ADR-020 | macOS Account Structure. LaunchDaemon is written and loaded under admin account. openclaw account has no write access to /Library/LaunchDaemons/.”</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ADR-020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2026-08-23T12:14:45.905Z</dcterms:created>
  <dcterms:modified xsi:type="dcterms:W3CDTF">2026-08-23T12:14:45.905Z</dcterms:modified>
</cp:coreProperties>
</file>

<file path=docProps/custom.xml><?xml version="1.0" encoding="utf-8"?>
<Properties xmlns="http://schemas.openxmlformats.org/officeDocument/2006/custom-properties" xmlns:vt="http://schemas.openxmlformats.org/officeDocument/2006/docPropsVTypes"/>
</file>