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44"/>
          <w:szCs w:val="44"/>
        </w:rPr>
        <w:t xml:space="preserve">ADR-021</w:t>
      </w:r>
    </w:p>
    <w:p>
      <w:pPr>
        <w:spacing w:after="160"/>
      </w:pPr>
      <w:r>
        <w:rPr>
          <w:color w:val="666666"/>
          <w:sz w:val="28"/>
          <w:szCs w:val="28"/>
        </w:rPr>
        <w:t xml:space="preserve">“LayerModel” — Model Tier Routing Authority</w:t>
      </w:r>
    </w:p>
    <w:p>
      <w:pPr>
        <w:pBdr>
          <w:top w:val="single" w:color="C00000" w:sz="6"/>
          <w:bottom w:val="single" w:color="C00000" w:sz="6"/>
          <w:left w:val="single" w:color="C00000" w:sz="6"/>
          <w:right w:val="single" w:color="C00000" w:sz="6"/>
        </w:pBdr>
        <w:shd w:fill="FFF2CC" w:val="clear"/>
        <w:spacing w:after="240" w:before="120"/>
      </w:pPr>
      <w:r>
        <w:rPr>
          <w:b/>
          <w:bCs/>
          <w:color w:val="C00000"/>
          <w:sz w:val="20"/>
          <w:szCs w:val="20"/>
        </w:rPr>
        <w:t xml:space="preserve">THIS IS A STUB, NOT AN ORIGINAL DOCUMENT. It contains only fragments recovered by cross-reference from other documents and live code/changelog citations. The original ADR text, full rationale, and decision date were not located anywhere checked. If the original is ever found, it supersedes this stub in full. See “What Is NOT Known” below.</w:t>
      </w:r>
    </w:p>
    <w:p>
      <w:pPr>
        <w:pStyle w:val="Heading1"/>
        <w:spacing w:after="140" w:before="280"/>
      </w:pPr>
      <w:r>
        <w:t xml:space="preserve">1.  Decision Record (Stub)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c>
          <w:tcPr>
            <w:tcW w:type="dxa" w:w="2200"/>
            <w:shd w:fill="D9E2F3" w:val="clear"/>
            <w:tcMar>
              <w:top w:type="dxa" w:w="80"/>
              <w:left w:type="dxa" w:w="100"/>
              <w:bottom w:type="dxa" w:w="80"/>
              <w:right w:type="dxa" w:w="100"/>
            </w:tcMar>
          </w:tcPr>
          <w:p>
            <w:r>
              <w:rPr>
                <w:b/>
                <w:bCs/>
              </w:rPr>
              <w:t xml:space="preserve">ADR Number</w:t>
            </w:r>
          </w:p>
        </w:tc>
        <w:tc>
          <w:tcPr>
            <w:tcW w:type="dxa" w:w="6800"/>
            <w:tcMar>
              <w:top w:type="dxa" w:w="80"/>
              <w:left w:type="dxa" w:w="100"/>
              <w:bottom w:type="dxa" w:w="80"/>
              <w:right w:type="dxa" w:w="100"/>
            </w:tcMar>
          </w:tcPr>
          <w:p>
            <w:r>
              <w:t xml:space="preserve">ADR-021</w:t>
            </w:r>
          </w:p>
        </w:tc>
      </w:tr>
      <w:tr>
        <w:tc>
          <w:tcPr>
            <w:tcW w:type="dxa" w:w="2200"/>
            <w:shd w:fill="D9E2F3" w:val="clear"/>
            <w:tcMar>
              <w:top w:type="dxa" w:w="80"/>
              <w:left w:type="dxa" w:w="100"/>
              <w:bottom w:type="dxa" w:w="80"/>
              <w:right w:type="dxa" w:w="100"/>
            </w:tcMar>
          </w:tcPr>
          <w:p>
            <w:r>
              <w:rPr>
                <w:b/>
                <w:bCs/>
              </w:rPr>
              <w:t xml:space="preserve">Title</w:t>
            </w:r>
          </w:p>
        </w:tc>
        <w:tc>
          <w:tcPr>
            <w:tcW w:type="dxa" w:w="6800"/>
            <w:tcMar>
              <w:top w:type="dxa" w:w="80"/>
              <w:left w:type="dxa" w:w="100"/>
              <w:bottom w:type="dxa" w:w="80"/>
              <w:right w:type="dxa" w:w="100"/>
            </w:tcMar>
          </w:tcPr>
          <w:p>
            <w:r>
              <w:t xml:space="preserve">“LayerModel” — Model Tier Routing Authority</w:t>
            </w:r>
          </w:p>
        </w:tc>
      </w:tr>
      <w:tr>
        <w:tc>
          <w:tcPr>
            <w:tcW w:type="dxa" w:w="2200"/>
            <w:shd w:fill="D9E2F3" w:val="clear"/>
            <w:tcMar>
              <w:top w:type="dxa" w:w="80"/>
              <w:left w:type="dxa" w:w="100"/>
              <w:bottom w:type="dxa" w:w="80"/>
              <w:right w:type="dxa" w:w="100"/>
            </w:tcMar>
          </w:tcPr>
          <w:p>
            <w:r>
              <w:rPr>
                <w:b/>
                <w:bCs/>
              </w:rPr>
              <w:t xml:space="preserve">Status</w:t>
            </w:r>
          </w:p>
        </w:tc>
        <w:tc>
          <w:tcPr>
            <w:tcW w:type="dxa" w:w="6800"/>
            <w:tcMar>
              <w:top w:type="dxa" w:w="80"/>
              <w:left w:type="dxa" w:w="100"/>
              <w:bottom w:type="dxa" w:w="80"/>
              <w:right w:type="dxa" w:w="100"/>
            </w:tcMar>
          </w:tcPr>
          <w:p>
            <w:r>
              <w:t xml:space="preserve">STUB — fragments only, original not recovered</w:t>
            </w:r>
          </w:p>
        </w:tc>
      </w:tr>
      <w:tr>
        <w:tc>
          <w:tcPr>
            <w:tcW w:type="dxa" w:w="2200"/>
            <w:shd w:fill="D9E2F3" w:val="clear"/>
            <w:tcMar>
              <w:top w:type="dxa" w:w="80"/>
              <w:left w:type="dxa" w:w="100"/>
              <w:bottom w:type="dxa" w:w="80"/>
              <w:right w:type="dxa" w:w="100"/>
            </w:tcMar>
          </w:tcPr>
          <w:p>
            <w:r>
              <w:rPr>
                <w:b/>
                <w:bCs/>
              </w:rPr>
              <w:t xml:space="preserve">Deciders</w:t>
            </w:r>
          </w:p>
        </w:tc>
        <w:tc>
          <w:tcPr>
            <w:tcW w:type="dxa" w:w="6800"/>
            <w:tcMar>
              <w:top w:type="dxa" w:w="80"/>
              <w:left w:type="dxa" w:w="100"/>
              <w:bottom w:type="dxa" w:w="80"/>
              <w:right w:type="dxa" w:w="100"/>
            </w:tcMar>
          </w:tcPr>
          <w:p>
            <w:r>
              <w:t xml:space="preserve">Sheldon Wheeler (owner, sole operator) — presumed, not confirmed for this stub</w:t>
            </w:r>
          </w:p>
        </w:tc>
      </w:tr>
      <w:tr>
        <w:tc>
          <w:tcPr>
            <w:tcW w:type="dxa" w:w="2200"/>
            <w:shd w:fill="D9E2F3" w:val="clear"/>
            <w:tcMar>
              <w:top w:type="dxa" w:w="80"/>
              <w:left w:type="dxa" w:w="100"/>
              <w:bottom w:type="dxa" w:w="80"/>
              <w:right w:type="dxa" w:w="100"/>
            </w:tcMar>
          </w:tcPr>
          <w:p>
            <w:r>
              <w:rPr>
                <w:b/>
                <w:bCs/>
              </w:rPr>
              <w:t xml:space="preserve">Stub Created</w:t>
            </w:r>
          </w:p>
        </w:tc>
        <w:tc>
          <w:tcPr>
            <w:tcW w:type="dxa" w:w="6800"/>
            <w:tcMar>
              <w:top w:type="dxa" w:w="80"/>
              <w:left w:type="dxa" w:w="100"/>
              <w:bottom w:type="dxa" w:w="80"/>
              <w:right w:type="dxa" w:w="100"/>
            </w:tcMar>
          </w:tcPr>
          <w:p>
            <w:r>
              <w:t xml:space="preserve">2026-08-23</w:t>
            </w:r>
          </w:p>
        </w:tc>
      </w:tr>
      <w:tr>
        <w:tc>
          <w:tcPr>
            <w:tcW w:type="dxa" w:w="2200"/>
            <w:shd w:fill="D9E2F3" w:val="clear"/>
            <w:tcMar>
              <w:top w:type="dxa" w:w="80"/>
              <w:left w:type="dxa" w:w="100"/>
              <w:bottom w:type="dxa" w:w="80"/>
              <w:right w:type="dxa" w:w="100"/>
            </w:tcMar>
          </w:tcPr>
          <w:p>
            <w:r>
              <w:rPr>
                <w:b/>
                <w:bCs/>
              </w:rPr>
              <w:t xml:space="preserve">Supersedes</w:t>
            </w:r>
          </w:p>
        </w:tc>
        <w:tc>
          <w:tcPr>
            <w:tcW w:type="dxa" w:w="6800"/>
            <w:tcMar>
              <w:top w:type="dxa" w:w="80"/>
              <w:left w:type="dxa" w:w="100"/>
              <w:bottom w:type="dxa" w:w="80"/>
              <w:right w:type="dxa" w:w="100"/>
            </w:tcMar>
          </w:tcPr>
          <w:p>
            <w:r>
              <w:t xml:space="preserve">None. If the original ADR is located, it supersedes this stub.</w:t>
            </w:r>
          </w:p>
        </w:tc>
      </w:tr>
    </w:tbl>
    <w:p>
      <w:pPr>
        <w:spacing w:after="200"/>
      </w:pPr>
    </w:p>
    <w:p>
      <w:pPr>
        <w:pStyle w:val="Heading1"/>
        <w:spacing w:after="140" w:before="280"/>
      </w:pPr>
      <w:r>
        <w:t xml:space="preserve">2.  What Is Known</w:t>
      </w:r>
    </w:p>
    <w:p>
      <w:pPr>
        <w:pStyle w:val="ListParagraph"/>
        <w:numPr>
          <w:ilvl w:val="0"/>
          <w:numId w:val="1"/>
        </w:numPr>
        <w:spacing w:after="80"/>
      </w:pPr>
      <w:r>
        <w:t xml:space="preserve">Governs model tier routing jointly with ADR-003 (app/llm.py module docstring: “llm.py — LLM execution router (ADR-003, ADR-021)”).</w:t>
      </w:r>
    </w:p>
    <w:p>
      <w:pPr>
        <w:pStyle w:val="ListParagraph"/>
        <w:numPr>
          <w:ilvl w:val="0"/>
          <w:numId w:val="1"/>
        </w:numPr>
        <w:spacing w:after="80"/>
      </w:pPr>
      <w:r>
        <w:t xml:space="preserve">Defines four tiers: Local Tier 1, Local Tier 2 (Ollama), Cloud Tier 3 (OpenRouter), Cloud Tier 4 (Opus) — Tier 4 is hard-blocked in Phase 1 per app/llm.py line 5 (“Tier 4 (Opus) is hard-blocked in Phase 1.”) and line 144 code comment.</w:t>
      </w:r>
    </w:p>
    <w:p>
      <w:pPr>
        <w:pStyle w:val="ListParagraph"/>
        <w:numPr>
          <w:ilvl w:val="0"/>
          <w:numId w:val="1"/>
        </w:numPr>
        <w:spacing w:after="80"/>
      </w:pPr>
      <w:r>
        <w:t xml:space="preserve">Phase 1 code currently routes all requests to local Tier 2 by default (app/llm.py line 20) — the confidence-based routing described below is documented design, not yet live in Phase 1 code.</w:t>
      </w:r>
    </w:p>
    <w:p>
      <w:pPr>
        <w:pStyle w:val="ListParagraph"/>
        <w:numPr>
          <w:ilvl w:val="0"/>
          <w:numId w:val="1"/>
        </w:numPr>
        <w:spacing w:after="80"/>
      </w:pPr>
      <w:r>
        <w:t xml:space="preserve">Confidence-based tier-escalation thresholds were recovered from the Mac Mini project's own instructions/memory (not from current code): approximately 0.85 confidence for Tier 1→2 escalation and 0.90 for Tier 2→3 — exact wording and full formula not independently confirmed in this session; treat as lower-confidence than the code-sourced facts above.</w:t>
      </w:r>
    </w:p>
    <w:p>
      <w:pPr>
        <w:pStyle w:val="ListParagraph"/>
        <w:numPr>
          <w:ilvl w:val="0"/>
          <w:numId w:val="1"/>
        </w:numPr>
        <w:spacing w:after="80"/>
      </w:pPr>
      <w:r>
        <w:t xml:space="preserve">ADR-036 §12 cross-reference: “ADR-021 | LayerModel Authority. GPU allocation directly enables Tier 2 model loads (32B) without CPU fallback. This ADR is a prerequisite for reliable Tier 2 inference.”</w:t>
      </w:r>
    </w:p>
    <w:p>
      <w:pPr>
        <w:pStyle w:val="Heading1"/>
        <w:spacing w:after="140" w:before="280"/>
      </w:pPr>
      <w:r>
        <w:t xml:space="preserve">3.  What Is NOT Known</w:t>
      </w:r>
    </w:p>
    <w:p>
      <w:pPr>
        <w:pStyle w:val="ListParagraph"/>
        <w:numPr>
          <w:ilvl w:val="0"/>
          <w:numId w:val="1"/>
        </w:numPr>
        <w:spacing w:after="80"/>
      </w:pPr>
      <w:r>
        <w:t xml:space="preserve">The exact confidence-threshold formula, full tier definitions beyond what's inferable from llm.py, and the original decision date/rationale.</w:t>
      </w:r>
    </w:p>
    <w:p>
      <w:pPr>
        <w:pStyle w:val="Heading1"/>
        <w:spacing w:after="140" w:before="280"/>
      </w:pPr>
      <w:r>
        <w:t xml:space="preserve">4.  Sources</w:t>
      </w:r>
    </w:p>
    <w:p>
      <w:pPr>
        <w:pStyle w:val="ListParagraph"/>
        <w:numPr>
          <w:ilvl w:val="0"/>
          <w:numId w:val="1"/>
        </w:numPr>
        <w:spacing w:after="80"/>
      </w:pPr>
      <w:r>
        <w:t xml:space="preserve">app/llm.py, lines 2, 4–5, 20, 144–150, read directly 2026-08-23.</w:t>
      </w:r>
    </w:p>
    <w:p>
      <w:pPr>
        <w:pStyle w:val="ListParagraph"/>
        <w:numPr>
          <w:ilvl w:val="0"/>
          <w:numId w:val="1"/>
        </w:numPr>
        <w:spacing w:after="80"/>
      </w:pPr>
      <w:r>
        <w:t xml:space="preserve">ADR_036.docx §12 (ADR Cross-Reference table), read directly 2026-08-23.</w:t>
      </w:r>
    </w:p>
    <w:p>
      <w:pPr>
        <w:pStyle w:val="ListParagraph"/>
        <w:numPr>
          <w:ilvl w:val="0"/>
          <w:numId w:val="1"/>
        </w:numPr>
        <w:spacing w:after="80"/>
      </w:pPr>
      <w:r>
        <w:t xml:space="preserve">Mac Mini Claude.ai project instructions/memory, captured 2026-08-22 (adr_fragments_2026-08-22/Claude_extracted_text.txt) — confidence-threshold figures specifically, lower confidence than the code citations above.</w:t>
      </w:r>
    </w:p>
    <w:p>
      <w:pPr>
        <w:spacing w:before="400"/>
      </w:pPr>
    </w:p>
    <w:p>
      <w:pPr>
        <w:spacing w:after="160"/>
      </w:pPr>
      <w:r>
        <w:rPr>
          <w:i/>
          <w:iCs/>
          <w:color w:val="666666"/>
          <w:sz w:val="18"/>
          <w:szCs w:val="18"/>
        </w:rPr>
        <w:t xml:space="preserve">Stub built 2026-08-23 as part of the ADR corpus reconciliation. See ADR_Corpus_Inventory_2026-08-23.xlsx and ADR_Reconciliation_Plan_2026-08-23.docx (both in adr_fragments_2026-08-22/reconciliation_2026-08-23/) for full context.</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ADR-021 — STUB (partial reconstruction)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2026-08-23T12:14:45.912Z</dcterms:created>
  <dcterms:modified xsi:type="dcterms:W3CDTF">2026-08-23T12:14:45.912Z</dcterms:modified>
</cp:coreProperties>
</file>

<file path=docProps/custom.xml><?xml version="1.0" encoding="utf-8"?>
<Properties xmlns="http://schemas.openxmlformats.org/officeDocument/2006/custom-properties" xmlns:vt="http://schemas.openxmlformats.org/officeDocument/2006/docPropsVTypes"/>
</file>