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ADR-023</w:t>
      </w:r>
    </w:p>
    <w:p>
      <w:pPr>
        <w:spacing w:after="160"/>
      </w:pPr>
      <w:r>
        <w:rPr>
          <w:color w:val="666666"/>
          <w:sz w:val="28"/>
          <w:szCs w:val="28"/>
        </w:rPr>
        <w:t xml:space="preserve">Encryption Posture</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ADR-023</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Encryption Posture</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Title recovered as “Encryption Posture”.</w:t>
      </w:r>
    </w:p>
    <w:p>
      <w:pPr>
        <w:pStyle w:val="ListParagraph"/>
        <w:numPr>
          <w:ilvl w:val="0"/>
          <w:numId w:val="1"/>
        </w:numPr>
        <w:spacing w:after="80"/>
      </w:pPr>
      <w:r>
        <w:t xml:space="preserve">ADR-036 §12 cross-reference: “ADR-023 | Encryption Posture. SIP remains enabled — no change to encryption posture. FileVault continues to protect all data at rest.” This indicates the ADR's scope covers FileVault (at-rest encryption) and System Integrity Protection (SIP) posture.</w:t>
      </w:r>
    </w:p>
    <w:p>
      <w:pPr>
        <w:pStyle w:val="ListParagraph"/>
        <w:numPr>
          <w:ilvl w:val="0"/>
          <w:numId w:val="1"/>
        </w:numPr>
        <w:spacing w:after="80"/>
      </w:pPr>
      <w:r>
        <w:t xml:space="preserve">ADR-036 §8 (SIP Posture) separately notes: “SIP disablement degrades the security posture established in ADR-023 and ADR-032” — confirming ADR-023 establishes a baseline SIP-enabled security posture that other ADRs are expected not to degrade.</w:t>
      </w:r>
    </w:p>
    <w:p>
      <w:pPr>
        <w:pStyle w:val="Heading1"/>
        <w:spacing w:after="140" w:before="280"/>
      </w:pPr>
      <w:r>
        <w:t xml:space="preserve">3.  What Is NOT Known</w:t>
      </w:r>
    </w:p>
    <w:p>
      <w:pPr>
        <w:pStyle w:val="ListParagraph"/>
        <w:numPr>
          <w:ilvl w:val="0"/>
          <w:numId w:val="1"/>
        </w:numPr>
        <w:spacing w:after="80"/>
      </w:pPr>
      <w:r>
        <w:t xml:space="preserve">Full decision text, whether other encryption mechanisms (e.g. in-transit, database-level) are covered, and original decision date.</w:t>
      </w:r>
    </w:p>
    <w:p>
      <w:pPr>
        <w:pStyle w:val="Heading1"/>
        <w:spacing w:after="140" w:before="280"/>
      </w:pPr>
      <w:r>
        <w:t xml:space="preserve">4.  Sources</w:t>
      </w:r>
    </w:p>
    <w:p>
      <w:pPr>
        <w:pStyle w:val="ListParagraph"/>
        <w:numPr>
          <w:ilvl w:val="0"/>
          <w:numId w:val="1"/>
        </w:numPr>
        <w:spacing w:after="80"/>
      </w:pPr>
      <w:r>
        <w:t xml:space="preserve">ADR_036.docx §8 and §12, read directly 2026-08-23.</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ADR-023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2026-08-23T12:14:45.919Z</dcterms:created>
  <dcterms:modified xsi:type="dcterms:W3CDTF">2026-08-23T12:14:45.919Z</dcterms:modified>
</cp:coreProperties>
</file>

<file path=docProps/custom.xml><?xml version="1.0" encoding="utf-8"?>
<Properties xmlns="http://schemas.openxmlformats.org/officeDocument/2006/custom-properties" xmlns:vt="http://schemas.openxmlformats.org/officeDocument/2006/docPropsVTypes"/>
</file>