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ADR-027</w:t>
      </w:r>
    </w:p>
    <w:p>
      <w:pPr>
        <w:spacing w:after="160"/>
      </w:pPr>
      <w:r>
        <w:rPr>
          <w:color w:val="666666"/>
          <w:sz w:val="28"/>
          <w:szCs w:val="28"/>
        </w:rPr>
        <w:t xml:space="preserve">Middleware Interceptor</w:t>
      </w:r>
    </w:p>
    <w:p>
      <w:pPr>
        <w:pBdr>
          <w:top w:val="single" w:color="C00000" w:sz="6"/>
          <w:bottom w:val="single" w:color="C00000" w:sz="6"/>
          <w:left w:val="single" w:color="C00000" w:sz="6"/>
          <w:right w:val="single" w:color="C00000" w:sz="6"/>
        </w:pBdr>
        <w:shd w:fill="FFF2CC" w:val="clear"/>
        <w:spacing w:after="240" w:before="120"/>
      </w:pPr>
      <w:r>
        <w:rPr>
          <w:b/>
          <w:bCs/>
          <w:color w:val="C00000"/>
          <w:sz w:val="20"/>
          <w:szCs w:val="20"/>
        </w:rPr>
        <w:t xml:space="preserve">THIS IS A STUB, NOT AN ORIGINAL DOCUMENT. It contains only fragments recovered by cross-reference from other documents and live code/changelog citations. The original ADR text, full rationale, and decision date were not located anywhere checked. If the original is ever found, it supersedes this stub in full. See “What Is NOT Known” below.</w:t>
      </w:r>
    </w:p>
    <w:p>
      <w:pPr>
        <w:pStyle w:val="Heading1"/>
        <w:spacing w:after="140" w:before="280"/>
      </w:pPr>
      <w:r>
        <w:t xml:space="preserve">1.  Decision Record (Stub)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tcPr>
          <w:p>
            <w:r>
              <w:rPr>
                <w:b/>
                <w:bCs/>
              </w:rPr>
              <w:t xml:space="preserve">ADR Number</w:t>
            </w:r>
          </w:p>
        </w:tc>
        <w:tc>
          <w:tcPr>
            <w:tcW w:type="dxa" w:w="6800"/>
            <w:tcMar>
              <w:top w:type="dxa" w:w="80"/>
              <w:left w:type="dxa" w:w="100"/>
              <w:bottom w:type="dxa" w:w="80"/>
              <w:right w:type="dxa" w:w="100"/>
            </w:tcMar>
          </w:tcPr>
          <w:p>
            <w:r>
              <w:t xml:space="preserve">ADR-027</w:t>
            </w:r>
          </w:p>
        </w:tc>
      </w:tr>
      <w:tr>
        <w:tc>
          <w:tcPr>
            <w:tcW w:type="dxa" w:w="2200"/>
            <w:shd w:fill="D9E2F3" w:val="clear"/>
            <w:tcMar>
              <w:top w:type="dxa" w:w="80"/>
              <w:left w:type="dxa" w:w="100"/>
              <w:bottom w:type="dxa" w:w="80"/>
              <w:right w:type="dxa" w:w="100"/>
            </w:tcMar>
          </w:tcPr>
          <w:p>
            <w:r>
              <w:rPr>
                <w:b/>
                <w:bCs/>
              </w:rPr>
              <w:t xml:space="preserve">Title</w:t>
            </w:r>
          </w:p>
        </w:tc>
        <w:tc>
          <w:tcPr>
            <w:tcW w:type="dxa" w:w="6800"/>
            <w:tcMar>
              <w:top w:type="dxa" w:w="80"/>
              <w:left w:type="dxa" w:w="100"/>
              <w:bottom w:type="dxa" w:w="80"/>
              <w:right w:type="dxa" w:w="100"/>
            </w:tcMar>
          </w:tcPr>
          <w:p>
            <w:r>
              <w:t xml:space="preserve">Middleware Interceptor</w:t>
            </w:r>
          </w:p>
        </w:tc>
      </w:tr>
      <w:tr>
        <w:tc>
          <w:tcPr>
            <w:tcW w:type="dxa" w:w="2200"/>
            <w:shd w:fill="D9E2F3" w:val="clear"/>
            <w:tcMar>
              <w:top w:type="dxa" w:w="80"/>
              <w:left w:type="dxa" w:w="100"/>
              <w:bottom w:type="dxa" w:w="80"/>
              <w:right w:type="dxa" w:w="100"/>
            </w:tcMar>
          </w:tcPr>
          <w:p>
            <w:r>
              <w:rPr>
                <w:b/>
                <w:bCs/>
              </w:rPr>
              <w:t xml:space="preserve">Status</w:t>
            </w:r>
          </w:p>
        </w:tc>
        <w:tc>
          <w:tcPr>
            <w:tcW w:type="dxa" w:w="6800"/>
            <w:tcMar>
              <w:top w:type="dxa" w:w="80"/>
              <w:left w:type="dxa" w:w="100"/>
              <w:bottom w:type="dxa" w:w="80"/>
              <w:right w:type="dxa" w:w="100"/>
            </w:tcMar>
          </w:tcPr>
          <w:p>
            <w:r>
              <w:t xml:space="preserve">STUB — fragments only, original not recovered</w:t>
            </w:r>
          </w:p>
        </w:tc>
      </w:tr>
      <w:tr>
        <w:tc>
          <w:tcPr>
            <w:tcW w:type="dxa" w:w="2200"/>
            <w:shd w:fill="D9E2F3" w:val="clear"/>
            <w:tcMar>
              <w:top w:type="dxa" w:w="80"/>
              <w:left w:type="dxa" w:w="100"/>
              <w:bottom w:type="dxa" w:w="80"/>
              <w:right w:type="dxa" w:w="100"/>
            </w:tcMar>
          </w:tcPr>
          <w:p>
            <w:r>
              <w:rPr>
                <w:b/>
                <w:bCs/>
              </w:rPr>
              <w:t xml:space="preserve">Deciders</w:t>
            </w:r>
          </w:p>
        </w:tc>
        <w:tc>
          <w:tcPr>
            <w:tcW w:type="dxa" w:w="6800"/>
            <w:tcMar>
              <w:top w:type="dxa" w:w="80"/>
              <w:left w:type="dxa" w:w="100"/>
              <w:bottom w:type="dxa" w:w="80"/>
              <w:right w:type="dxa" w:w="100"/>
            </w:tcMar>
          </w:tcPr>
          <w:p>
            <w:r>
              <w:t xml:space="preserve">Sheldon Wheeler (owner, sole operator) — presumed, not confirmed for this stub</w:t>
            </w:r>
          </w:p>
        </w:tc>
      </w:tr>
      <w:tr>
        <w:tc>
          <w:tcPr>
            <w:tcW w:type="dxa" w:w="2200"/>
            <w:shd w:fill="D9E2F3" w:val="clear"/>
            <w:tcMar>
              <w:top w:type="dxa" w:w="80"/>
              <w:left w:type="dxa" w:w="100"/>
              <w:bottom w:type="dxa" w:w="80"/>
              <w:right w:type="dxa" w:w="100"/>
            </w:tcMar>
          </w:tcPr>
          <w:p>
            <w:r>
              <w:rPr>
                <w:b/>
                <w:bCs/>
              </w:rPr>
              <w:t xml:space="preserve">Stub Created</w:t>
            </w:r>
          </w:p>
        </w:tc>
        <w:tc>
          <w:tcPr>
            <w:tcW w:type="dxa" w:w="6800"/>
            <w:tcMar>
              <w:top w:type="dxa" w:w="80"/>
              <w:left w:type="dxa" w:w="100"/>
              <w:bottom w:type="dxa" w:w="80"/>
              <w:right w:type="dxa" w:w="100"/>
            </w:tcMar>
          </w:tcPr>
          <w:p>
            <w:r>
              <w:t xml:space="preserve">2026-08-23</w:t>
            </w:r>
          </w:p>
        </w:tc>
      </w:tr>
      <w:tr>
        <w:tc>
          <w:tcPr>
            <w:tcW w:type="dxa" w:w="2200"/>
            <w:shd w:fill="D9E2F3" w:val="clear"/>
            <w:tcMar>
              <w:top w:type="dxa" w:w="80"/>
              <w:left w:type="dxa" w:w="100"/>
              <w:bottom w:type="dxa" w:w="80"/>
              <w:right w:type="dxa" w:w="100"/>
            </w:tcMar>
          </w:tcPr>
          <w:p>
            <w:r>
              <w:rPr>
                <w:b/>
                <w:bCs/>
              </w:rPr>
              <w:t xml:space="preserve">Supersedes</w:t>
            </w:r>
          </w:p>
        </w:tc>
        <w:tc>
          <w:tcPr>
            <w:tcW w:type="dxa" w:w="6800"/>
            <w:tcMar>
              <w:top w:type="dxa" w:w="80"/>
              <w:left w:type="dxa" w:w="100"/>
              <w:bottom w:type="dxa" w:w="80"/>
              <w:right w:type="dxa" w:w="100"/>
            </w:tcMar>
          </w:tcPr>
          <w:p>
            <w:r>
              <w:t xml:space="preserve">None. If the original ADR is located, it supersedes this stub.</w:t>
            </w:r>
          </w:p>
        </w:tc>
      </w:tr>
    </w:tbl>
    <w:p>
      <w:pPr>
        <w:spacing w:after="200"/>
      </w:pPr>
    </w:p>
    <w:p>
      <w:pPr>
        <w:pStyle w:val="Heading1"/>
        <w:spacing w:after="140" w:before="280"/>
      </w:pPr>
      <w:r>
        <w:t xml:space="preserve">2.  What Is Known</w:t>
      </w:r>
    </w:p>
    <w:p>
      <w:pPr>
        <w:pStyle w:val="ListParagraph"/>
        <w:numPr>
          <w:ilvl w:val="0"/>
          <w:numId w:val="1"/>
        </w:numPr>
        <w:spacing w:after="80"/>
      </w:pPr>
      <w:r>
        <w:t xml:space="preserve">app/interceptor.py module docstring: “interceptor.py — Middleware interceptor (ADR-027) with token budget enforcement (ADR-035 §4.5)” — a three-stage pipeline.</w:t>
      </w:r>
    </w:p>
    <w:p>
      <w:pPr>
        <w:pStyle w:val="ListParagraph"/>
        <w:numPr>
          <w:ilvl w:val="0"/>
          <w:numId w:val="1"/>
        </w:numPr>
        <w:spacing w:after="80"/>
      </w:pPr>
      <w:r>
        <w:t xml:space="preserve">The interceptor is described as “the single enforcement point” for several controls, of which the in-process circuit breaker is specifically attributed to ADR-027: “Circuit breaker (10 calls / 60 seconds, ADR-027)” (interceptor.py line 10, implementation at line 36 under a comment headed “In-process circuit breaker (ADR-027)”).</w:t>
      </w:r>
    </w:p>
    <w:p>
      <w:pPr>
        <w:pStyle w:val="ListParagraph"/>
        <w:numPr>
          <w:ilvl w:val="0"/>
          <w:numId w:val="1"/>
        </w:numPr>
        <w:spacing w:after="80"/>
      </w:pPr>
      <w:r>
        <w:t xml:space="preserve">Other controls sit in the same pipeline but are attributed to different ADRs in the same docstring: security/pattern scanning to ADR-038, tool registry validation to ADR-035 §5, token budget ceiling to ADR-035 §4, cost escalation to ADR-028 — useful for not over-attributing those to ADR-027.</w:t>
      </w:r>
    </w:p>
    <w:p>
      <w:pPr>
        <w:pStyle w:val="ListParagraph"/>
        <w:numPr>
          <w:ilvl w:val="0"/>
          <w:numId w:val="1"/>
        </w:numPr>
        <w:spacing w:after="80"/>
      </w:pPr>
      <w:r>
        <w:t xml:space="preserve">Last night's fragment recovery separately attributed a “pattern scanner, flag-and-continue on suspicious input, post-call hook for real-time security alerts” description to ADR-027 (via the Mac Mini project capture) — this may actually belong to ADR-038 given the code docstring above attributes pattern scanning there; flagged as a possible mis-attribution in last night's recovery, not resolved in this stub.</w:t>
      </w:r>
    </w:p>
    <w:p>
      <w:pPr>
        <w:pStyle w:val="Heading1"/>
        <w:spacing w:after="140" w:before="280"/>
      </w:pPr>
      <w:r>
        <w:t xml:space="preserve">3.  What Is NOT Known</w:t>
      </w:r>
    </w:p>
    <w:p>
      <w:pPr>
        <w:pStyle w:val="ListParagraph"/>
        <w:numPr>
          <w:ilvl w:val="0"/>
          <w:numId w:val="1"/>
        </w:numPr>
        <w:spacing w:after="80"/>
      </w:pPr>
      <w:r>
        <w:t xml:space="preserve">Full original decision text and rationale for the specific circuit-breaker parameters (10 calls / 60 seconds), and whether the ADR-027 vs. ADR-038 pattern-scanner attribution ambiguity noted above is resolved in the original document.</w:t>
      </w:r>
    </w:p>
    <w:p>
      <w:pPr>
        <w:pStyle w:val="Heading1"/>
        <w:spacing w:after="140" w:before="280"/>
      </w:pPr>
      <w:r>
        <w:t xml:space="preserve">4.  Sources</w:t>
      </w:r>
    </w:p>
    <w:p>
      <w:pPr>
        <w:pStyle w:val="ListParagraph"/>
        <w:numPr>
          <w:ilvl w:val="0"/>
          <w:numId w:val="1"/>
        </w:numPr>
        <w:spacing w:after="80"/>
      </w:pPr>
      <w:r>
        <w:t xml:space="preserve">app/interceptor.py, lines 1–14 and 36, read directly 2026-08-23.</w:t>
      </w:r>
    </w:p>
    <w:p>
      <w:pPr>
        <w:pStyle w:val="ListParagraph"/>
        <w:numPr>
          <w:ilvl w:val="0"/>
          <w:numId w:val="1"/>
        </w:numPr>
        <w:spacing w:after="80"/>
      </w:pPr>
      <w:r>
        <w:t xml:space="preserve">Mac Mini Claude.ai project instructions/memory, captured 2026-08-22 — pattern-scanner description, flagged above as possibly misattributed.</w:t>
      </w:r>
    </w:p>
    <w:p>
      <w:pPr>
        <w:spacing w:before="400"/>
      </w:pPr>
    </w:p>
    <w:p>
      <w:pPr>
        <w:spacing w:after="160"/>
      </w:pPr>
      <w:r>
        <w:rPr>
          <w:i/>
          <w:iCs/>
          <w:color w:val="666666"/>
          <w:sz w:val="18"/>
          <w:szCs w:val="18"/>
        </w:rPr>
        <w:t xml:space="preserve">Stub built 2026-08-23 as part of the ADR corpus reconciliation. See ADR_Corpus_Inventory_2026-08-23.xlsx and ADR_Reconciliation_Plan_2026-08-23.docx (both in adr_fragments_2026-08-22/reconciliation_2026-08-23/) for full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ADR-027 — STUB (partial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2026-08-23T12:14:45.932Z</dcterms:created>
  <dcterms:modified xsi:type="dcterms:W3CDTF">2026-08-23T12:14:45.932Z</dcterms:modified>
</cp:coreProperties>
</file>

<file path=docProps/custom.xml><?xml version="1.0" encoding="utf-8"?>
<Properties xmlns="http://schemas.openxmlformats.org/officeDocument/2006/custom-properties" xmlns:vt="http://schemas.openxmlformats.org/officeDocument/2006/docPropsVTypes"/>
</file>