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ADR-029</w:t>
      </w:r>
    </w:p>
    <w:p>
      <w:pPr>
        <w:spacing w:after="160"/>
      </w:pPr>
      <w:r>
        <w:rPr>
          <w:color w:val="666666"/>
          <w:sz w:val="28"/>
          <w:szCs w:val="28"/>
        </w:rPr>
        <w:t xml:space="preserve">Audit Table (agent_actions)</w:t>
      </w:r>
    </w:p>
    <w:p>
      <w:pPr>
        <w:pBdr>
          <w:top w:val="single" w:color="C00000" w:sz="6"/>
          <w:bottom w:val="single" w:color="C00000" w:sz="6"/>
          <w:left w:val="single" w:color="C00000" w:sz="6"/>
          <w:right w:val="single" w:color="C00000" w:sz="6"/>
        </w:pBdr>
        <w:shd w:fill="FFF2CC" w:val="clear"/>
        <w:spacing w:after="240" w:before="120"/>
      </w:pPr>
      <w:r>
        <w:rPr>
          <w:b/>
          <w:bCs/>
          <w:color w:val="C00000"/>
          <w:sz w:val="20"/>
          <w:szCs w:val="20"/>
        </w:rPr>
        <w:t xml:space="preserve">THIS IS A STUB, NOT AN ORIGINAL DOCUMENT. It contains only fragments recovered by cross-reference from other documents and live code/changelog citations. The original ADR text, full rationale, and decision date were not located anywhere checked. If the original is ever found, it supersedes this stub in full. See “What Is NOT Known” below.</w:t>
      </w:r>
    </w:p>
    <w:p>
      <w:pPr>
        <w:pStyle w:val="Heading1"/>
        <w:spacing w:after="140" w:before="280"/>
      </w:pPr>
      <w:r>
        <w:t xml:space="preserve">1.  Decision Record (Stub)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D9E2F3" w:val="clear"/>
            <w:tcMar>
              <w:top w:type="dxa" w:w="80"/>
              <w:left w:type="dxa" w:w="100"/>
              <w:bottom w:type="dxa" w:w="80"/>
              <w:right w:type="dxa" w:w="100"/>
            </w:tcMar>
          </w:tcPr>
          <w:p>
            <w:r>
              <w:rPr>
                <w:b/>
                <w:bCs/>
              </w:rPr>
              <w:t xml:space="preserve">ADR Number</w:t>
            </w:r>
          </w:p>
        </w:tc>
        <w:tc>
          <w:tcPr>
            <w:tcW w:type="dxa" w:w="6800"/>
            <w:tcMar>
              <w:top w:type="dxa" w:w="80"/>
              <w:left w:type="dxa" w:w="100"/>
              <w:bottom w:type="dxa" w:w="80"/>
              <w:right w:type="dxa" w:w="100"/>
            </w:tcMar>
          </w:tcPr>
          <w:p>
            <w:r>
              <w:t xml:space="preserve">ADR-029</w:t>
            </w:r>
          </w:p>
        </w:tc>
      </w:tr>
      <w:tr>
        <w:tc>
          <w:tcPr>
            <w:tcW w:type="dxa" w:w="2200"/>
            <w:shd w:fill="D9E2F3" w:val="clear"/>
            <w:tcMar>
              <w:top w:type="dxa" w:w="80"/>
              <w:left w:type="dxa" w:w="100"/>
              <w:bottom w:type="dxa" w:w="80"/>
              <w:right w:type="dxa" w:w="100"/>
            </w:tcMar>
          </w:tcPr>
          <w:p>
            <w:r>
              <w:rPr>
                <w:b/>
                <w:bCs/>
              </w:rPr>
              <w:t xml:space="preserve">Title</w:t>
            </w:r>
          </w:p>
        </w:tc>
        <w:tc>
          <w:tcPr>
            <w:tcW w:type="dxa" w:w="6800"/>
            <w:tcMar>
              <w:top w:type="dxa" w:w="80"/>
              <w:left w:type="dxa" w:w="100"/>
              <w:bottom w:type="dxa" w:w="80"/>
              <w:right w:type="dxa" w:w="100"/>
            </w:tcMar>
          </w:tcPr>
          <w:p>
            <w:r>
              <w:t xml:space="preserve">Audit Table (agent_actions)</w:t>
            </w:r>
          </w:p>
        </w:tc>
      </w:tr>
      <w:tr>
        <w:tc>
          <w:tcPr>
            <w:tcW w:type="dxa" w:w="2200"/>
            <w:shd w:fill="D9E2F3" w:val="clear"/>
            <w:tcMar>
              <w:top w:type="dxa" w:w="80"/>
              <w:left w:type="dxa" w:w="100"/>
              <w:bottom w:type="dxa" w:w="80"/>
              <w:right w:type="dxa" w:w="100"/>
            </w:tcMar>
          </w:tcPr>
          <w:p>
            <w:r>
              <w:rPr>
                <w:b/>
                <w:bCs/>
              </w:rPr>
              <w:t xml:space="preserve">Status</w:t>
            </w:r>
          </w:p>
        </w:tc>
        <w:tc>
          <w:tcPr>
            <w:tcW w:type="dxa" w:w="6800"/>
            <w:tcMar>
              <w:top w:type="dxa" w:w="80"/>
              <w:left w:type="dxa" w:w="100"/>
              <w:bottom w:type="dxa" w:w="80"/>
              <w:right w:type="dxa" w:w="100"/>
            </w:tcMar>
          </w:tcPr>
          <w:p>
            <w:r>
              <w:t xml:space="preserve">STUB — fragments only, original not recovered</w:t>
            </w:r>
          </w:p>
        </w:tc>
      </w:tr>
      <w:tr>
        <w:tc>
          <w:tcPr>
            <w:tcW w:type="dxa" w:w="2200"/>
            <w:shd w:fill="D9E2F3" w:val="clear"/>
            <w:tcMar>
              <w:top w:type="dxa" w:w="80"/>
              <w:left w:type="dxa" w:w="100"/>
              <w:bottom w:type="dxa" w:w="80"/>
              <w:right w:type="dxa" w:w="100"/>
            </w:tcMar>
          </w:tcPr>
          <w:p>
            <w:r>
              <w:rPr>
                <w:b/>
                <w:bCs/>
              </w:rPr>
              <w:t xml:space="preserve">Deciders</w:t>
            </w:r>
          </w:p>
        </w:tc>
        <w:tc>
          <w:tcPr>
            <w:tcW w:type="dxa" w:w="6800"/>
            <w:tcMar>
              <w:top w:type="dxa" w:w="80"/>
              <w:left w:type="dxa" w:w="100"/>
              <w:bottom w:type="dxa" w:w="80"/>
              <w:right w:type="dxa" w:w="100"/>
            </w:tcMar>
          </w:tcPr>
          <w:p>
            <w:r>
              <w:t xml:space="preserve">Sheldon Wheeler (owner, sole operator) — presumed, not confirmed for this stub</w:t>
            </w:r>
          </w:p>
        </w:tc>
      </w:tr>
      <w:tr>
        <w:tc>
          <w:tcPr>
            <w:tcW w:type="dxa" w:w="2200"/>
            <w:shd w:fill="D9E2F3" w:val="clear"/>
            <w:tcMar>
              <w:top w:type="dxa" w:w="80"/>
              <w:left w:type="dxa" w:w="100"/>
              <w:bottom w:type="dxa" w:w="80"/>
              <w:right w:type="dxa" w:w="100"/>
            </w:tcMar>
          </w:tcPr>
          <w:p>
            <w:r>
              <w:rPr>
                <w:b/>
                <w:bCs/>
              </w:rPr>
              <w:t xml:space="preserve">Stub Created</w:t>
            </w:r>
          </w:p>
        </w:tc>
        <w:tc>
          <w:tcPr>
            <w:tcW w:type="dxa" w:w="6800"/>
            <w:tcMar>
              <w:top w:type="dxa" w:w="80"/>
              <w:left w:type="dxa" w:w="100"/>
              <w:bottom w:type="dxa" w:w="80"/>
              <w:right w:type="dxa" w:w="100"/>
            </w:tcMar>
          </w:tcPr>
          <w:p>
            <w:r>
              <w:t xml:space="preserve">2026-08-23</w:t>
            </w:r>
          </w:p>
        </w:tc>
      </w:tr>
      <w:tr>
        <w:tc>
          <w:tcPr>
            <w:tcW w:type="dxa" w:w="2200"/>
            <w:shd w:fill="D9E2F3" w:val="clear"/>
            <w:tcMar>
              <w:top w:type="dxa" w:w="80"/>
              <w:left w:type="dxa" w:w="100"/>
              <w:bottom w:type="dxa" w:w="80"/>
              <w:right w:type="dxa" w:w="100"/>
            </w:tcMar>
          </w:tcPr>
          <w:p>
            <w:r>
              <w:rPr>
                <w:b/>
                <w:bCs/>
              </w:rPr>
              <w:t xml:space="preserve">Supersedes</w:t>
            </w:r>
          </w:p>
        </w:tc>
        <w:tc>
          <w:tcPr>
            <w:tcW w:type="dxa" w:w="6800"/>
            <w:tcMar>
              <w:top w:type="dxa" w:w="80"/>
              <w:left w:type="dxa" w:w="100"/>
              <w:bottom w:type="dxa" w:w="80"/>
              <w:right w:type="dxa" w:w="100"/>
            </w:tcMar>
          </w:tcPr>
          <w:p>
            <w:r>
              <w:t xml:space="preserve">None. If the original ADR is located, it supersedes this stub.</w:t>
            </w:r>
          </w:p>
        </w:tc>
      </w:tr>
    </w:tbl>
    <w:p>
      <w:pPr>
        <w:spacing w:after="200"/>
      </w:pPr>
    </w:p>
    <w:p>
      <w:pPr>
        <w:pStyle w:val="Heading1"/>
        <w:spacing w:after="140" w:before="280"/>
      </w:pPr>
      <w:r>
        <w:t xml:space="preserve">2.  What Is Known</w:t>
      </w:r>
    </w:p>
    <w:p>
      <w:pPr>
        <w:pStyle w:val="ListParagraph"/>
        <w:numPr>
          <w:ilvl w:val="0"/>
          <w:numId w:val="1"/>
        </w:numPr>
        <w:spacing w:after="80"/>
      </w:pPr>
      <w:r>
        <w:t xml:space="preserve">schema.sql line 4: “-- ADR-029: agent_actions (partitioned, with input_tokens/output_tokens per ADR-035)” and line 129–130: “-- 5. AGENT_ACTIONS (ADR-029 + ADR-035 §4.4, §9) -- Partitioned audit table with input/output token split”.</w:t>
      </w:r>
    </w:p>
    <w:p>
      <w:pPr>
        <w:pStyle w:val="ListParagraph"/>
        <w:numPr>
          <w:ilvl w:val="0"/>
          <w:numId w:val="1"/>
        </w:numPr>
        <w:spacing w:after="80"/>
      </w:pPr>
      <w:r>
        <w:t xml:space="preserve">schema_version row (schema.sql line 454) lists ADR-029 among the ADRs the current baseline schema (version 7) implements.</w:t>
      </w:r>
    </w:p>
    <w:p>
      <w:pPr>
        <w:pStyle w:val="ListParagraph"/>
        <w:numPr>
          <w:ilvl w:val="0"/>
          <w:numId w:val="1"/>
        </w:numPr>
        <w:spacing w:after="80"/>
      </w:pPr>
      <w:r>
        <w:t xml:space="preserve">Last night's recovery adds: 90-day retention, monthly partition, DROP PARTITION after 90 days (Mac Mini project capture) — consistent with the “partitioned” description in schema.sql but the specific retention/partition numbers were not independently re-verified against schema.sql's actual DDL in this session.</w:t>
      </w:r>
    </w:p>
    <w:p>
      <w:pPr>
        <w:pStyle w:val="Heading1"/>
        <w:spacing w:after="140" w:before="280"/>
      </w:pPr>
      <w:r>
        <w:t xml:space="preserve">3.  What Is NOT Known</w:t>
      </w:r>
    </w:p>
    <w:p>
      <w:pPr>
        <w:pStyle w:val="ListParagraph"/>
        <w:numPr>
          <w:ilvl w:val="0"/>
          <w:numId w:val="1"/>
        </w:numPr>
        <w:spacing w:after="80"/>
      </w:pPr>
      <w:r>
        <w:t xml:space="preserve">Full original decision text and rationale; whether the 90-day/monthly-partition figures exactly match the live DDL (not re-verified this session).</w:t>
      </w:r>
    </w:p>
    <w:p>
      <w:pPr>
        <w:pStyle w:val="Heading1"/>
        <w:spacing w:after="140" w:before="280"/>
      </w:pPr>
      <w:r>
        <w:t xml:space="preserve">4.  Sources</w:t>
      </w:r>
    </w:p>
    <w:p>
      <w:pPr>
        <w:pStyle w:val="ListParagraph"/>
        <w:numPr>
          <w:ilvl w:val="0"/>
          <w:numId w:val="1"/>
        </w:numPr>
        <w:spacing w:after="80"/>
      </w:pPr>
      <w:r>
        <w:t xml:space="preserve">schema.sql, lines 4, 129–130, 454, read directly 2026-08-23.</w:t>
      </w:r>
    </w:p>
    <w:p>
      <w:pPr>
        <w:pStyle w:val="ListParagraph"/>
        <w:numPr>
          <w:ilvl w:val="0"/>
          <w:numId w:val="1"/>
        </w:numPr>
        <w:spacing w:after="80"/>
      </w:pPr>
      <w:r>
        <w:t xml:space="preserve">Mac Mini Claude.ai project instructions/memory, captured 2026-08-22 — retention/partition figures, not re-verified against DDL this session.</w:t>
      </w:r>
    </w:p>
    <w:p>
      <w:pPr>
        <w:spacing w:before="400"/>
      </w:pPr>
    </w:p>
    <w:p>
      <w:pPr>
        <w:spacing w:after="160"/>
      </w:pPr>
      <w:r>
        <w:rPr>
          <w:i/>
          <w:iCs/>
          <w:color w:val="666666"/>
          <w:sz w:val="18"/>
          <w:szCs w:val="18"/>
        </w:rPr>
        <w:t xml:space="preserve">Stub built 2026-08-23 as part of the ADR corpus reconciliation. See ADR_Corpus_Inventory_2026-08-23.xlsx and ADR_Reconciliation_Plan_2026-08-23.docx (both in adr_fragments_2026-08-22/reconciliation_2026-08-23/) for full context.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ADR-029 — STUB (partial reconstruction)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2026-08-23T12:14:45.945Z</dcterms:created>
  <dcterms:modified xsi:type="dcterms:W3CDTF">2026-08-23T12:14:45.945Z</dcterms:modified>
</cp:coreProperties>
</file>

<file path=docProps/custom.xml><?xml version="1.0" encoding="utf-8"?>
<Properties xmlns="http://schemas.openxmlformats.org/officeDocument/2006/custom-properties" xmlns:vt="http://schemas.openxmlformats.org/officeDocument/2006/docPropsVTypes"/>
</file>