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rPr>
        <w:t xml:space="preserve">MAC MINI AGENT SERVER</w:t>
      </w:r>
    </w:p>
    <w:p>
      <w:pPr>
        <w:spacing w:after="120"/>
      </w:pPr>
      <w:r>
        <w:rPr>
          <w:b/>
          <w:bCs/>
        </w:rPr>
        <w:t xml:space="preserve">ADR-036 — GPU VRAM Allocation Policy</w:t>
      </w:r>
    </w:p>
    <w:p>
      <w:pPr>
        <w:spacing w:after="120"/>
      </w:pPr>
      <w:r>
        <w:rPr>
          <w:b/>
          <w:bCs/>
        </w:rPr>
        <w:t xml:space="preserve">Status: DECIDED</w:t>
      </w:r>
    </w:p>
    <w:p>
      <w:pPr>
        <w:spacing w:after="120"/>
      </w:pPr>
      <w:r>
        <w:rPr>
          <w:b w:val="false"/>
          <w:bCs w:val="false"/>
        </w:rPr>
        <w:t xml:space="preserve">Date: April 4, 2026</w:t>
      </w:r>
    </w:p>
    <w:p>
      <w:pPr>
        <w:spacing w:after="120"/>
      </w:pPr>
      <w:r>
        <w:rPr>
          <w:b w:val="false"/>
          <w:bCs w:val="false"/>
        </w:rPr>
        <w:t xml:space="preserve">Phase: 1  |  Setup Day Deliverable</w:t>
      </w:r>
    </w:p>
    <w:p>
      <w:pPr>
        <w:spacing w:after="120"/>
      </w:pPr>
      <w:r>
        <w:rPr>
          <w:b w:val="false"/>
          <w:bCs w:val="false"/>
        </w:rPr>
        <w:t xml:space="preserve">Owner: Sheldon Wheeler</w:t>
      </w:r>
    </w:p>
    <w:p>
      <w:pPr>
        <w:spacing w:after="120"/>
      </w:pPr>
      <w:r>
        <w:rPr>
          <w:b w:val="false"/>
          <w:bCs w:val="false"/>
        </w:rPr>
        <w:t xml:space="preserve">NIST Coverage:  SA-2 · SC-5 · SI-4 · SI-4(5) · AU-2 · AU-3</w:t>
      </w:r>
    </w:p>
    <w:p>
      <w:pPr>
        <w:pStyle w:val="Heading1"/>
        <w:spacing w:after="140" w:before="280"/>
      </w:pPr>
      <w:r>
        <w:t xml:space="preserve">1.  Context and Decision</w:t>
      </w:r>
    </w:p>
    <w:p>
      <w:pPr>
        <w:spacing w:after="120"/>
      </w:pPr>
      <w:r>
        <w:rPr>
          <w:b w:val="false"/>
          <w:bCs w:val="false"/>
        </w:rPr>
        <w:t xml:space="preserve">Apple Silicon M1 Max applies a default Metal GPU memory cap of 75% of unified memory. On the 32GB configuration this limits GPU-addressable memory to 24,576 MB. On the 64GB configuration the default cap is 49,152 MB. For local LLM inference via Ollama this cap is the binding constraint on which model tiers can be loaded entirely in GPU memory.</w:t>
      </w:r>
    </w:p>
    <w:p>
      <w:pPr>
        <w:spacing w:after="120"/>
      </w:pPr>
      <w:r>
        <w:rPr>
          <w:b w:val="false"/>
          <w:bCs w:val="false"/>
        </w:rPr>
        <w:t xml:space="preserve">The iogpu.wired_limit_mb sysctl kernel parameter allows the operator to raise this cap above the 75% default without disabling System Integrity Protection (SIP). The parameter resets to 0 (system default) on reboot unless re-applied by a LaunchDaemon at startup. The /etc/sysctl.conf persistence method requires SIP to be disabled and is rejected on security grounds.</w:t>
      </w:r>
    </w:p>
    <w:p>
      <w:pPr>
        <w:spacing w:after="120"/>
      </w:pPr>
      <w:r>
        <w:rPr>
          <w:b w:val="false"/>
          <w:bCs w:val="false"/>
        </w:rPr>
        <w:t xml:space="preserve">Decision: Raise the GPU memory allocation above the 75% default using iogpu.wired_limit_mb, persisted via a LaunchDaemon plist at /Library/LaunchDaemons/com.openclaw.iogpu.wired_limit.plist. SIP remains intact. The exact MB value is determined on setup day by the hardware configuration purchased. Two configurations are fully specified in this ADR; the operator selects the applicable values at setup time.</w:t>
      </w:r>
    </w:p>
    <w:p>
      <w:pPr>
        <w:pStyle w:val="Heading1"/>
        <w:spacing w:after="140" w:before="280"/>
      </w:pPr>
      <w:r>
        <w:t xml:space="preserve">2.  Decision Record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Mar>
              <w:top w:type="dxa" w:w="60"/>
              <w:left w:type="dxa" w:w="100"/>
              <w:bottom w:type="dxa" w:w="60"/>
              <w:right w:type="dxa" w:w="100"/>
            </w:tcMar>
          </w:tcPr>
          <w:p>
            <w:r>
              <w:rPr>
                <w:b/>
                <w:bCs/>
              </w:rPr>
              <w:t xml:space="preserve">ADR Number</w:t>
            </w:r>
          </w:p>
        </w:tc>
        <w:tc>
          <w:tcPr>
            <w:tcW w:type="dxa" w:w="4500"/>
            <w:shd w:fill="D9E2F3" w:val="clear"/>
            <w:tcMar>
              <w:top w:type="dxa" w:w="60"/>
              <w:left w:type="dxa" w:w="100"/>
              <w:bottom w:type="dxa" w:w="60"/>
              <w:right w:type="dxa" w:w="100"/>
            </w:tcMar>
          </w:tcPr>
          <w:p>
            <w:r>
              <w:rPr>
                <w:b/>
                <w:bCs/>
              </w:rPr>
              <w:t xml:space="preserve">ADR-036</w:t>
            </w:r>
          </w:p>
        </w:tc>
      </w:tr>
      <w:tr>
        <w:tc>
          <w:tcPr>
            <w:tcW w:type="dxa" w:w="4500"/>
            <w:tcMar>
              <w:top w:type="dxa" w:w="60"/>
              <w:left w:type="dxa" w:w="100"/>
              <w:bottom w:type="dxa" w:w="60"/>
              <w:right w:type="dxa" w:w="100"/>
            </w:tcMar>
          </w:tcPr>
          <w:p>
            <w:r>
              <w:rPr>
                <w:b/>
                <w:bCs/>
              </w:rPr>
              <w:t xml:space="preserve">Title</w:t>
            </w:r>
          </w:p>
        </w:tc>
        <w:tc>
          <w:tcPr>
            <w:tcW w:type="dxa" w:w="4500"/>
            <w:tcMar>
              <w:top w:type="dxa" w:w="60"/>
              <w:left w:type="dxa" w:w="100"/>
              <w:bottom w:type="dxa" w:w="60"/>
              <w:right w:type="dxa" w:w="100"/>
            </w:tcMar>
          </w:tcPr>
          <w:p>
            <w:r>
              <w:rPr>
                <w:b w:val="false"/>
                <w:bCs w:val="false"/>
              </w:rPr>
              <w:t xml:space="preserve">GPU VRAM Allocation Policy</w:t>
            </w:r>
          </w:p>
        </w:tc>
      </w:tr>
      <w:tr>
        <w:tc>
          <w:tcPr>
            <w:tcW w:type="dxa" w:w="4500"/>
            <w:tcMar>
              <w:top w:type="dxa" w:w="60"/>
              <w:left w:type="dxa" w:w="100"/>
              <w:bottom w:type="dxa" w:w="60"/>
              <w:right w:type="dxa" w:w="100"/>
            </w:tcMar>
          </w:tcPr>
          <w:p>
            <w:r>
              <w:rPr>
                <w:b/>
                <w:bCs/>
              </w:rPr>
              <w:t xml:space="preserve">Status</w:t>
            </w:r>
          </w:p>
        </w:tc>
        <w:tc>
          <w:tcPr>
            <w:tcW w:type="dxa" w:w="4500"/>
            <w:tcMar>
              <w:top w:type="dxa" w:w="60"/>
              <w:left w:type="dxa" w:w="100"/>
              <w:bottom w:type="dxa" w:w="60"/>
              <w:right w:type="dxa" w:w="100"/>
            </w:tcMar>
          </w:tcPr>
          <w:p>
            <w:r>
              <w:rPr>
                <w:b w:val="false"/>
                <w:bCs w:val="false"/>
              </w:rPr>
              <w:t xml:space="preserve">DECIDED — April 4, 2026</w:t>
            </w:r>
          </w:p>
        </w:tc>
      </w:tr>
      <w:tr>
        <w:tc>
          <w:tcPr>
            <w:tcW w:type="dxa" w:w="4500"/>
            <w:tcMar>
              <w:top w:type="dxa" w:w="60"/>
              <w:left w:type="dxa" w:w="100"/>
              <w:bottom w:type="dxa" w:w="60"/>
              <w:right w:type="dxa" w:w="100"/>
            </w:tcMar>
          </w:tcPr>
          <w:p>
            <w:r>
              <w:rPr>
                <w:b/>
                <w:bCs/>
              </w:rPr>
              <w:t xml:space="preserve">Deciders</w:t>
            </w:r>
          </w:p>
        </w:tc>
        <w:tc>
          <w:tcPr>
            <w:tcW w:type="dxa" w:w="4500"/>
            <w:tcMar>
              <w:top w:type="dxa" w:w="60"/>
              <w:left w:type="dxa" w:w="100"/>
              <w:bottom w:type="dxa" w:w="60"/>
              <w:right w:type="dxa" w:w="100"/>
            </w:tcMar>
          </w:tcPr>
          <w:p>
            <w:r>
              <w:rPr>
                <w:b w:val="false"/>
                <w:bCs w:val="false"/>
              </w:rPr>
              <w:t xml:space="preserve">Sheldon Wheeler (owner, sole operator)</w:t>
            </w:r>
          </w:p>
        </w:tc>
      </w:tr>
      <w:tr>
        <w:tc>
          <w:tcPr>
            <w:tcW w:type="dxa" w:w="4500"/>
            <w:tcMar>
              <w:top w:type="dxa" w:w="60"/>
              <w:left w:type="dxa" w:w="100"/>
              <w:bottom w:type="dxa" w:w="60"/>
              <w:right w:type="dxa" w:w="100"/>
            </w:tcMar>
          </w:tcPr>
          <w:p>
            <w:r>
              <w:rPr>
                <w:b/>
                <w:bCs/>
              </w:rPr>
              <w:t xml:space="preserve">ADR References</w:t>
            </w:r>
          </w:p>
        </w:tc>
        <w:tc>
          <w:tcPr>
            <w:tcW w:type="dxa" w:w="4500"/>
            <w:tcMar>
              <w:top w:type="dxa" w:w="60"/>
              <w:left w:type="dxa" w:w="100"/>
              <w:bottom w:type="dxa" w:w="60"/>
              <w:right w:type="dxa" w:w="100"/>
            </w:tcMar>
          </w:tcPr>
          <w:p>
            <w:r>
              <w:rPr>
                <w:b w:val="false"/>
                <w:bCs w:val="false"/>
              </w:rPr>
              <w:t xml:space="preserve">ADR-002 (Hardware) · ADR-020 (Account Structure) · ADR-021 (LayerModel) · ADR-023 (Encryption) · ADR-027 (Interceptor) · ADR-031 (Change Management) · ADR-032 (NIST) · ADR-033 (Dashboard Metrics) · ADR-034 (Hardware Telemetry)</w:t>
            </w:r>
          </w:p>
        </w:tc>
      </w:tr>
      <w:tr>
        <w:tc>
          <w:tcPr>
            <w:tcW w:type="dxa" w:w="4500"/>
            <w:tcMar>
              <w:top w:type="dxa" w:w="60"/>
              <w:left w:type="dxa" w:w="100"/>
              <w:bottom w:type="dxa" w:w="60"/>
              <w:right w:type="dxa" w:w="100"/>
            </w:tcMar>
          </w:tcPr>
          <w:p>
            <w:r>
              <w:rPr>
                <w:b/>
                <w:bCs/>
              </w:rPr>
              <w:t xml:space="preserve">NIST Controls</w:t>
            </w:r>
          </w:p>
        </w:tc>
        <w:tc>
          <w:tcPr>
            <w:tcW w:type="dxa" w:w="4500"/>
            <w:tcMar>
              <w:top w:type="dxa" w:w="60"/>
              <w:left w:type="dxa" w:w="100"/>
              <w:bottom w:type="dxa" w:w="60"/>
              <w:right w:type="dxa" w:w="100"/>
            </w:tcMar>
          </w:tcPr>
          <w:p>
            <w:r>
              <w:rPr>
                <w:b w:val="false"/>
                <w:bCs w:val="false"/>
              </w:rPr>
              <w:t xml:space="preserve">SA-2 · SC-5 · SI-4 · SI-4(5) · AU-2 · AU-3</w:t>
            </w:r>
          </w:p>
        </w:tc>
      </w:tr>
      <w:tr>
        <w:tc>
          <w:tcPr>
            <w:tcW w:type="dxa" w:w="4500"/>
            <w:tcMar>
              <w:top w:type="dxa" w:w="60"/>
              <w:left w:type="dxa" w:w="100"/>
              <w:bottom w:type="dxa" w:w="60"/>
              <w:right w:type="dxa" w:w="100"/>
            </w:tcMar>
          </w:tcPr>
          <w:p>
            <w:r>
              <w:rPr>
                <w:b/>
                <w:bCs/>
              </w:rPr>
              <w:t xml:space="preserve">Phase Scope</w:t>
            </w:r>
          </w:p>
        </w:tc>
        <w:tc>
          <w:tcPr>
            <w:tcW w:type="dxa" w:w="4500"/>
            <w:tcMar>
              <w:top w:type="dxa" w:w="60"/>
              <w:left w:type="dxa" w:w="100"/>
              <w:bottom w:type="dxa" w:w="60"/>
              <w:right w:type="dxa" w:w="100"/>
            </w:tcMar>
          </w:tcPr>
          <w:p>
            <w:r>
              <w:rPr>
                <w:b w:val="false"/>
                <w:bCs w:val="false"/>
              </w:rPr>
              <w:t xml:space="preserve">Phase 1 — applied on setup day before first Ollama model load</w:t>
            </w:r>
          </w:p>
        </w:tc>
      </w:tr>
      <w:tr>
        <w:tc>
          <w:tcPr>
            <w:tcW w:type="dxa" w:w="4500"/>
            <w:tcMar>
              <w:top w:type="dxa" w:w="60"/>
              <w:left w:type="dxa" w:w="100"/>
              <w:bottom w:type="dxa" w:w="60"/>
              <w:right w:type="dxa" w:w="100"/>
            </w:tcMar>
          </w:tcPr>
          <w:p>
            <w:r>
              <w:rPr>
                <w:b/>
                <w:bCs/>
              </w:rPr>
              <w:t xml:space="preserve">Supersedes</w:t>
            </w:r>
          </w:p>
        </w:tc>
        <w:tc>
          <w:tcPr>
            <w:tcW w:type="dxa" w:w="4500"/>
            <w:tcMar>
              <w:top w:type="dxa" w:w="60"/>
              <w:left w:type="dxa" w:w="100"/>
              <w:bottom w:type="dxa" w:w="60"/>
              <w:right w:type="dxa" w:w="100"/>
            </w:tcMar>
          </w:tcPr>
          <w:p>
            <w:r>
              <w:rPr>
                <w:b w:val="false"/>
                <w:bCs w:val="false"/>
              </w:rPr>
              <w:t xml:space="preserve">None. Amends ADR-033 memory threshold values (Section 7).</w:t>
            </w:r>
          </w:p>
        </w:tc>
      </w:tr>
    </w:tbl>
    <w:p>
      <w:pPr>
        <w:spacing w:after="160"/>
      </w:pPr>
    </w:p>
    <w:p>
      <w:pPr>
        <w:pStyle w:val="Heading1"/>
        <w:spacing w:after="140" w:before="280"/>
      </w:pPr>
      <w:r>
        <w:t xml:space="preserve">3.  Problem Statement</w:t>
      </w:r>
    </w:p>
    <w:p>
      <w:pPr>
        <w:spacing w:after="120"/>
      </w:pPr>
      <w:r>
        <w:rPr>
          <w:b w:val="false"/>
          <w:bCs w:val="false"/>
        </w:rPr>
        <w:t xml:space="preserve">The 75% Metal GPU cap is a macOS safety floor designed for general-purpose consumer use. OpenClaw is a headless server with no display, no GUI applications, and no interactive user sessions on the openclaw account. The OS memory floor required for this workload profile is substantially lower than Apple's conservative general-purpose default.</w:t>
      </w:r>
    </w:p>
    <w:p>
      <w:pPr>
        <w:spacing w:after="120"/>
      </w:pPr>
      <w:r>
        <w:rPr>
          <w:b w:val="false"/>
          <w:bCs w:val="false"/>
        </w:rPr>
        <w:t xml:space="preserve">Staying at the 75% default on the 32GB configuration means a Q4_K_M quantized 32B model (approximately 18-20 GB) loads partially in GPU memory and partially via CPU fallback. Raising the cap to 87.5% (28,672 MB) provides sufficient headroom to load the full model weight in GPU memory with context buffer capacity remaining.</w:t>
      </w:r>
    </w:p>
    <w:p>
      <w:pPr>
        <w:spacing w:after="120"/>
      </w:pPr>
      <w:r>
        <w:rPr>
          <w:b w:val="false"/>
          <w:bCs w:val="false"/>
        </w:rPr>
        <w:t xml:space="preserve">On the 64GB configuration the 75% default provides 49,152 MB. Raising to 90% (58,982 MB) increases headroom for larger model weights and longer context windows without approaching the OS starvation threshold.</w:t>
      </w:r>
    </w:p>
    <w:p>
      <w:pPr>
        <w:pStyle w:val="Heading1"/>
        <w:spacing w:after="140" w:before="280"/>
      </w:pPr>
      <w:r>
        <w:t xml:space="preserve">4.  Allocation Policy</w:t>
      </w:r>
    </w:p>
    <w:p>
      <w:pPr>
        <w:spacing w:after="120"/>
      </w:pPr>
      <w:r>
        <w:rPr>
          <w:b w:val="false"/>
          <w:bCs w:val="false"/>
        </w:rPr>
        <w:t xml:space="preserve">Two configurations are fully specified. The operator selects the applicable row on setup day based on hardware purchased.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D9E2F3" w:val="clear"/>
            <w:tcMar>
              <w:top w:type="dxa" w:w="60"/>
              <w:left w:type="dxa" w:w="100"/>
              <w:bottom w:type="dxa" w:w="60"/>
              <w:right w:type="dxa" w:w="100"/>
            </w:tcMar>
          </w:tcPr>
          <w:p>
            <w:r>
              <w:rPr>
                <w:b/>
                <w:bCs/>
              </w:rPr>
              <w:t xml:space="preserve">Config</w:t>
            </w:r>
          </w:p>
        </w:tc>
        <w:tc>
          <w:tcPr>
            <w:tcW w:type="dxa" w:w="1500"/>
            <w:shd w:fill="D9E2F3" w:val="clear"/>
            <w:tcMar>
              <w:top w:type="dxa" w:w="60"/>
              <w:left w:type="dxa" w:w="100"/>
              <w:bottom w:type="dxa" w:w="60"/>
              <w:right w:type="dxa" w:w="100"/>
            </w:tcMar>
          </w:tcPr>
          <w:p>
            <w:r>
              <w:rPr>
                <w:b/>
                <w:bCs/>
              </w:rPr>
              <w:t xml:space="preserve">Total</w:t>
            </w:r>
          </w:p>
        </w:tc>
        <w:tc>
          <w:tcPr>
            <w:tcW w:type="dxa" w:w="1500"/>
            <w:shd w:fill="D9E2F3" w:val="clear"/>
            <w:tcMar>
              <w:top w:type="dxa" w:w="60"/>
              <w:left w:type="dxa" w:w="100"/>
              <w:bottom w:type="dxa" w:w="60"/>
              <w:right w:type="dxa" w:w="100"/>
            </w:tcMar>
          </w:tcPr>
          <w:p>
            <w:r>
              <w:rPr>
                <w:b/>
                <w:bCs/>
              </w:rPr>
              <w:t xml:space="preserve">GPU Allocation</w:t>
            </w:r>
          </w:p>
        </w:tc>
        <w:tc>
          <w:tcPr>
            <w:tcW w:type="dxa" w:w="1500"/>
            <w:shd w:fill="D9E2F3" w:val="clear"/>
            <w:tcMar>
              <w:top w:type="dxa" w:w="60"/>
              <w:left w:type="dxa" w:w="100"/>
              <w:bottom w:type="dxa" w:w="60"/>
              <w:right w:type="dxa" w:w="100"/>
            </w:tcMar>
          </w:tcPr>
          <w:p>
            <w:r>
              <w:rPr>
                <w:b/>
                <w:bCs/>
              </w:rPr>
              <w:t xml:space="preserve">OS Reserve</w:t>
            </w:r>
          </w:p>
        </w:tc>
        <w:tc>
          <w:tcPr>
            <w:tcW w:type="dxa" w:w="1500"/>
            <w:shd w:fill="D9E2F3" w:val="clear"/>
            <w:tcMar>
              <w:top w:type="dxa" w:w="60"/>
              <w:left w:type="dxa" w:w="100"/>
              <w:bottom w:type="dxa" w:w="60"/>
              <w:right w:type="dxa" w:w="100"/>
            </w:tcMar>
          </w:tcPr>
          <w:p>
            <w:r>
              <w:rPr>
                <w:b/>
                <w:bCs/>
              </w:rPr>
              <w:t xml:space="preserve">Effective %</w:t>
            </w:r>
          </w:p>
        </w:tc>
        <w:tc>
          <w:tcPr>
            <w:tcW w:type="dxa" w:w="1500"/>
            <w:shd w:fill="D9E2F3" w:val="clear"/>
            <w:tcMar>
              <w:top w:type="dxa" w:w="60"/>
              <w:left w:type="dxa" w:w="100"/>
              <w:bottom w:type="dxa" w:w="60"/>
              <w:right w:type="dxa" w:w="100"/>
            </w:tcMar>
          </w:tcPr>
          <w:p>
            <w:r>
              <w:rPr>
                <w:b/>
                <w:bCs/>
              </w:rPr>
              <w:t xml:space="preserve">MB Value</w:t>
            </w:r>
          </w:p>
        </w:tc>
      </w:tr>
      <w:tr>
        <w:tc>
          <w:tcPr>
            <w:tcW w:type="dxa" w:w="1500"/>
            <w:tcMar>
              <w:top w:type="dxa" w:w="60"/>
              <w:left w:type="dxa" w:w="100"/>
              <w:bottom w:type="dxa" w:w="60"/>
              <w:right w:type="dxa" w:w="100"/>
            </w:tcMar>
          </w:tcPr>
          <w:p>
            <w:r>
              <w:rPr>
                <w:b w:val="false"/>
                <w:bCs w:val="false"/>
              </w:rPr>
              <w:t xml:space="preserve">32 GB</w:t>
            </w:r>
          </w:p>
        </w:tc>
        <w:tc>
          <w:tcPr>
            <w:tcW w:type="dxa" w:w="1500"/>
            <w:tcMar>
              <w:top w:type="dxa" w:w="60"/>
              <w:left w:type="dxa" w:w="100"/>
              <w:bottom w:type="dxa" w:w="60"/>
              <w:right w:type="dxa" w:w="100"/>
            </w:tcMar>
          </w:tcPr>
          <w:p>
            <w:r>
              <w:rPr>
                <w:b w:val="false"/>
                <w:bCs w:val="false"/>
              </w:rPr>
              <w:t xml:space="preserve">32,768 MB</w:t>
            </w:r>
          </w:p>
        </w:tc>
        <w:tc>
          <w:tcPr>
            <w:tcW w:type="dxa" w:w="1500"/>
            <w:tcMar>
              <w:top w:type="dxa" w:w="60"/>
              <w:left w:type="dxa" w:w="100"/>
              <w:bottom w:type="dxa" w:w="60"/>
              <w:right w:type="dxa" w:w="100"/>
            </w:tcMar>
          </w:tcPr>
          <w:p>
            <w:r>
              <w:rPr>
                <w:b w:val="false"/>
                <w:bCs w:val="false"/>
              </w:rPr>
              <w:t xml:space="preserve">28,672 MB</w:t>
            </w:r>
          </w:p>
        </w:tc>
        <w:tc>
          <w:tcPr>
            <w:tcW w:type="dxa" w:w="1500"/>
            <w:tcMar>
              <w:top w:type="dxa" w:w="60"/>
              <w:left w:type="dxa" w:w="100"/>
              <w:bottom w:type="dxa" w:w="60"/>
              <w:right w:type="dxa" w:w="100"/>
            </w:tcMar>
          </w:tcPr>
          <w:p>
            <w:r>
              <w:rPr>
                <w:b w:val="false"/>
                <w:bCs w:val="false"/>
              </w:rPr>
              <w:t xml:space="preserve">~4,096 MB (~4 GB)</w:t>
            </w:r>
          </w:p>
        </w:tc>
        <w:tc>
          <w:tcPr>
            <w:tcW w:type="dxa" w:w="1500"/>
            <w:tcMar>
              <w:top w:type="dxa" w:w="60"/>
              <w:left w:type="dxa" w:w="100"/>
              <w:bottom w:type="dxa" w:w="60"/>
              <w:right w:type="dxa" w:w="100"/>
            </w:tcMar>
          </w:tcPr>
          <w:p>
            <w:r>
              <w:rPr>
                <w:b w:val="false"/>
                <w:bCs w:val="false"/>
              </w:rPr>
              <w:t xml:space="preserve">87.5%</w:t>
            </w:r>
          </w:p>
        </w:tc>
        <w:tc>
          <w:tcPr>
            <w:tcW w:type="dxa" w:w="1500"/>
            <w:tcMar>
              <w:top w:type="dxa" w:w="60"/>
              <w:left w:type="dxa" w:w="100"/>
              <w:bottom w:type="dxa" w:w="60"/>
              <w:right w:type="dxa" w:w="100"/>
            </w:tcMar>
          </w:tcPr>
          <w:p>
            <w:r>
              <w:rPr>
                <w:b/>
                <w:bCs/>
              </w:rPr>
              <w:t xml:space="preserve">28672</w:t>
            </w:r>
          </w:p>
        </w:tc>
      </w:tr>
      <w:tr>
        <w:tc>
          <w:tcPr>
            <w:tcW w:type="dxa" w:w="1500"/>
            <w:tcMar>
              <w:top w:type="dxa" w:w="60"/>
              <w:left w:type="dxa" w:w="100"/>
              <w:bottom w:type="dxa" w:w="60"/>
              <w:right w:type="dxa" w:w="100"/>
            </w:tcMar>
          </w:tcPr>
          <w:p>
            <w:r>
              <w:rPr>
                <w:b w:val="false"/>
                <w:bCs w:val="false"/>
              </w:rPr>
              <w:t xml:space="preserve">64 GB</w:t>
            </w:r>
          </w:p>
        </w:tc>
        <w:tc>
          <w:tcPr>
            <w:tcW w:type="dxa" w:w="1500"/>
            <w:tcMar>
              <w:top w:type="dxa" w:w="60"/>
              <w:left w:type="dxa" w:w="100"/>
              <w:bottom w:type="dxa" w:w="60"/>
              <w:right w:type="dxa" w:w="100"/>
            </w:tcMar>
          </w:tcPr>
          <w:p>
            <w:r>
              <w:rPr>
                <w:b w:val="false"/>
                <w:bCs w:val="false"/>
              </w:rPr>
              <w:t xml:space="preserve">65,536 MB</w:t>
            </w:r>
          </w:p>
        </w:tc>
        <w:tc>
          <w:tcPr>
            <w:tcW w:type="dxa" w:w="1500"/>
            <w:tcMar>
              <w:top w:type="dxa" w:w="60"/>
              <w:left w:type="dxa" w:w="100"/>
              <w:bottom w:type="dxa" w:w="60"/>
              <w:right w:type="dxa" w:w="100"/>
            </w:tcMar>
          </w:tcPr>
          <w:p>
            <w:r>
              <w:rPr>
                <w:b w:val="false"/>
                <w:bCs w:val="false"/>
              </w:rPr>
              <w:t xml:space="preserve">58,982 MB</w:t>
            </w:r>
          </w:p>
        </w:tc>
        <w:tc>
          <w:tcPr>
            <w:tcW w:type="dxa" w:w="1500"/>
            <w:tcMar>
              <w:top w:type="dxa" w:w="60"/>
              <w:left w:type="dxa" w:w="100"/>
              <w:bottom w:type="dxa" w:w="60"/>
              <w:right w:type="dxa" w:w="100"/>
            </w:tcMar>
          </w:tcPr>
          <w:p>
            <w:r>
              <w:rPr>
                <w:b w:val="false"/>
                <w:bCs w:val="false"/>
              </w:rPr>
              <w:t xml:space="preserve">~6,554 MB (~6.4 GB)</w:t>
            </w:r>
          </w:p>
        </w:tc>
        <w:tc>
          <w:tcPr>
            <w:tcW w:type="dxa" w:w="1500"/>
            <w:tcMar>
              <w:top w:type="dxa" w:w="60"/>
              <w:left w:type="dxa" w:w="100"/>
              <w:bottom w:type="dxa" w:w="60"/>
              <w:right w:type="dxa" w:w="100"/>
            </w:tcMar>
          </w:tcPr>
          <w:p>
            <w:r>
              <w:rPr>
                <w:b w:val="false"/>
                <w:bCs w:val="false"/>
              </w:rPr>
              <w:t xml:space="preserve">90.0%</w:t>
            </w:r>
          </w:p>
        </w:tc>
        <w:tc>
          <w:tcPr>
            <w:tcW w:type="dxa" w:w="1500"/>
            <w:tcMar>
              <w:top w:type="dxa" w:w="60"/>
              <w:left w:type="dxa" w:w="100"/>
              <w:bottom w:type="dxa" w:w="60"/>
              <w:right w:type="dxa" w:w="100"/>
            </w:tcMar>
          </w:tcPr>
          <w:p>
            <w:r>
              <w:rPr>
                <w:b/>
                <w:bCs/>
              </w:rPr>
              <w:t xml:space="preserve">58982</w:t>
            </w:r>
          </w:p>
        </w:tc>
      </w:tr>
    </w:tbl>
    <w:p>
      <w:pPr>
        <w:spacing w:after="160"/>
      </w:pPr>
    </w:p>
    <w:p>
      <w:pPr>
        <w:spacing w:after="120"/>
      </w:pPr>
      <w:r>
        <w:rPr>
          <w:b w:val="false"/>
          <w:bCs w:val="false"/>
        </w:rPr>
        <w:t xml:space="preserve">The OS reserve values above reflect a headless server profile. No GUI applications, no display server workload, and no interactive user sessions run under the openclaw account. The admin and dev accounts are inactive during normal operation. If the system exhibits memory pressure (swap &gt; 0, memory pressure state yellow or red) the operator must reduce iogpu.wired_limit_mb and update this ADR.</w:t>
      </w:r>
    </w:p>
    <w:p>
      <w:pPr>
        <w:pStyle w:val="Heading1"/>
        <w:spacing w:after="140" w:before="280"/>
      </w:pPr>
      <w:r>
        <w:t xml:space="preserve">5.  Implementation — LaunchDaemon</w:t>
      </w:r>
    </w:p>
    <w:p>
      <w:pPr>
        <w:spacing w:after="120"/>
      </w:pPr>
      <w:r>
        <w:rPr>
          <w:b w:val="false"/>
          <w:bCs w:val="false"/>
        </w:rPr>
        <w:t xml:space="preserve">The LaunchDaemon approach applies iogpu.wired_limit_mb at boot via launchd without modifying /etc/sysctl.conf. SIP remains intact. The plist is auditable, version-controlled, and reversible without a kernel mode change.</w:t>
      </w:r>
    </w:p>
    <w:p>
      <w:pPr>
        <w:pStyle w:val="Heading2"/>
        <w:spacing w:after="100" w:before="200"/>
      </w:pPr>
      <w:r>
        <w:t xml:space="preserve">5.1  Plist Location and Ownership</w:t>
      </w:r>
    </w:p>
    <w:p>
      <w:pPr>
        <w:spacing w:after="120"/>
      </w:pPr>
      <w:r>
        <w:rPr>
          <w:b w:val="false"/>
          <w:bCs w:val="false"/>
        </w:rPr>
        <w:t xml:space="preserve">File: /Library/LaunchDaemons/com.openclaw.iogpu.wired_limit.plist</w:t>
      </w:r>
    </w:p>
    <w:p>
      <w:pPr>
        <w:spacing w:after="120"/>
      </w:pPr>
      <w:r>
        <w:rPr>
          <w:b w:val="false"/>
          <w:bCs w:val="false"/>
        </w:rPr>
        <w:t xml:space="preserve">Owner: root:wheel   Permissions: 0644   Written by: admin account on setup day</w:t>
      </w:r>
    </w:p>
    <w:p>
      <w:pPr>
        <w:pStyle w:val="Heading2"/>
        <w:spacing w:after="100" w:before="200"/>
      </w:pPr>
      <w:r>
        <w:t xml:space="preserve">5.2  Plist Content — 32 GB Configuration</w:t>
      </w:r>
    </w:p>
    <w:p>
      <w:pPr>
        <w:shd w:fill="F2F2F2" w:val="clear"/>
        <w:spacing w:after="120"/>
      </w:pPr>
      <w:r>
        <w:rPr>
          <w:rFonts w:ascii="Courier New" w:cs="Courier New" w:eastAsia="Courier New" w:hAnsi="Courier New"/>
          <w:sz w:val="18"/>
          <w:szCs w:val="18"/>
        </w:rPr>
        <w:t xml:space="preserve">&lt;?xml version="1.0" encoding="UTF-8"?&gt;
&lt;!DOCTYPE plist PUBLIC "-//Apple//DTD PLIST 1.0//EN"</w:t>
      </w:r>
    </w:p>
    <w:p>
      <w:pPr>
        <w:spacing w:after="120"/>
      </w:pPr>
      <w:r>
        <w:rPr>
          <w:b w:val="false"/>
          <w:bCs w:val="false"/>
        </w:rPr>
        <w:t xml:space="preserve">  "http://www.apple.com/DTDs/PropertyList-1.0.dtd"&gt;</w:t>
      </w:r>
    </w:p>
    <w:p>
      <w:pPr>
        <w:shd w:fill="F2F2F2" w:val="clear"/>
        <w:spacing w:after="120"/>
      </w:pPr>
      <w:r>
        <w:rPr>
          <w:rFonts w:ascii="Courier New" w:cs="Courier New" w:eastAsia="Courier New" w:hAnsi="Courier New"/>
          <w:sz w:val="18"/>
          <w:szCs w:val="18"/>
        </w:rPr>
        <w:t xml:space="preserve">&lt;plist version="1.0"&gt;
  &lt;dict&gt;
    &lt;key&gt;Label&lt;/key&gt;
    &lt;string&gt;com.openclaw.iogpu.wired_limit&lt;/string&gt;
    &lt;key&gt;ProgramArguments&lt;/key&gt;
    &lt;array&gt;
      &lt;string&gt;/usr/sbin/sysctl&lt;/string&gt;
      &lt;string&gt;iogpu.wired_limit_mb=28672&lt;/string&gt;
    &lt;/array&gt;
    &lt;key&gt;RunAtLoad&lt;/key&gt;
    &lt;true/&gt;
    &lt;key&gt;StandardOutPath&lt;/key&gt;
    &lt;string&gt;/var/log/openclaw/iogpu_wired_limit.log&lt;/string&gt;
    &lt;key&gt;StandardErrorPath&lt;/key&gt;
    &lt;string&gt;/var/log/openclaw/iogpu_wired_limit_error.log&lt;/string&gt;
  &lt;/dict&gt;
&lt;/plist&gt;</w:t>
      </w:r>
    </w:p>
    <w:p>
      <w:pPr>
        <w:spacing w:after="120"/>
      </w:pPr>
      <w:r>
        <w:rPr>
          <w:b w:val="false"/>
          <w:bCs w:val="false"/>
        </w:rPr>
        <w:t xml:space="preserve">For the 64 GB configuration substitute iogpu.wired_limit_mb=58982 on the sysctl argument line. All other plist content is identical.</w:t>
      </w:r>
    </w:p>
    <w:p>
      <w:pPr>
        <w:pStyle w:val="Heading2"/>
        <w:spacing w:after="100" w:before="200"/>
      </w:pPr>
      <w:r>
        <w:t xml:space="preserve">5.3  Setup Day Commands</w:t>
      </w:r>
    </w:p>
    <w:p>
      <w:pPr>
        <w:spacing w:after="120"/>
      </w:pPr>
      <w:r>
        <w:rPr>
          <w:b w:val="false"/>
          <w:bCs w:val="false"/>
        </w:rPr>
        <w:t xml:space="preserve">Run under the admin account. Substitute the correct MB value for the hardware purchased.</w:t>
      </w:r>
    </w:p>
    <w:p>
      <w:pPr>
        <w:pStyle w:val="Heading1"/>
        <w:spacing w:after="140" w:before="280"/>
      </w:pPr>
      <w:r>
        <w:t xml:space="preserve">1. Create log directory</w:t>
      </w:r>
    </w:p>
    <w:p>
      <w:pPr>
        <w:spacing w:after="120"/>
      </w:pPr>
      <w:r>
        <w:rPr>
          <w:b w:val="false"/>
          <w:bCs w:val="false"/>
        </w:rPr>
        <w:t xml:space="preserve">sudo mkdir -p /var/log/openclaw</w:t>
      </w:r>
    </w:p>
    <w:p>
      <w:pPr>
        <w:spacing w:after="120"/>
      </w:pPr>
      <w:r>
        <w:rPr>
          <w:b w:val="false"/>
          <w:bCs w:val="false"/>
        </w:rPr>
        <w:t xml:space="preserve">sudo chown root:wheel /var/log/openclaw</w:t>
      </w:r>
    </w:p>
    <w:p>
      <w:pPr>
        <w:spacing w:after="120"/>
      </w:pPr>
      <w:r>
        <w:rPr>
          <w:b w:val="false"/>
          <w:bCs w:val="false"/>
        </w:rPr>
        <w:t xml:space="preserve">sudo chmod 755 /var/log/openclaw</w:t>
      </w:r>
    </w:p>
    <w:p>
      <w:pPr>
        <w:pStyle w:val="Heading1"/>
        <w:spacing w:after="140" w:before="280"/>
      </w:pPr>
      <w:r>
        <w:t xml:space="preserve">2. Write plist (use 28672 for 32GB, 58982 for 64GB)</w:t>
      </w:r>
    </w:p>
    <w:p>
      <w:pPr>
        <w:spacing w:after="120"/>
      </w:pPr>
      <w:r>
        <w:rPr>
          <w:b w:val="false"/>
          <w:bCs w:val="false"/>
        </w:rPr>
        <w:t xml:space="preserve">sudo tee /Library/LaunchDaemons/com.openclaw.iogpu.wired_limit.plist &lt;&lt; 'EOF'</w:t>
      </w:r>
    </w:p>
    <w:p>
      <w:pPr>
        <w:spacing w:after="120"/>
      </w:pPr>
      <w:r>
        <w:rPr>
          <w:b w:val="false"/>
          <w:bCs w:val="false"/>
        </w:rPr>
        <w:t xml:space="preserve">  [paste plist content from Section 5.2]</w:t>
      </w:r>
    </w:p>
    <w:p>
      <w:pPr>
        <w:spacing w:after="120"/>
      </w:pPr>
      <w:r>
        <w:rPr>
          <w:b w:val="false"/>
          <w:bCs w:val="false"/>
        </w:rPr>
        <w:t xml:space="preserve">EOF</w:t>
      </w:r>
    </w:p>
    <w:p>
      <w:pPr>
        <w:pStyle w:val="Heading1"/>
        <w:spacing w:after="140" w:before="280"/>
      </w:pPr>
      <w:r>
        <w:t xml:space="preserve">3. Set ownership and permissions</w:t>
      </w:r>
    </w:p>
    <w:p>
      <w:pPr>
        <w:spacing w:after="120"/>
      </w:pPr>
      <w:r>
        <w:rPr>
          <w:b w:val="false"/>
          <w:bCs w:val="false"/>
        </w:rPr>
        <w:t xml:space="preserve">sudo chown root:wheel /Library/LaunchDaemons/com.openclaw.iogpu.wired_limit.plist</w:t>
      </w:r>
    </w:p>
    <w:p>
      <w:pPr>
        <w:spacing w:after="120"/>
      </w:pPr>
      <w:r>
        <w:rPr>
          <w:b w:val="false"/>
          <w:bCs w:val="false"/>
        </w:rPr>
        <w:t xml:space="preserve">sudo chmod 0644 /Library/LaunchDaemons/com.openclaw.iogpu.wired_limit.plist</w:t>
      </w:r>
    </w:p>
    <w:p>
      <w:pPr>
        <w:pStyle w:val="Heading1"/>
        <w:spacing w:after="140" w:before="280"/>
      </w:pPr>
      <w:r>
        <w:t xml:space="preserve">4. Load the daemon</w:t>
      </w:r>
    </w:p>
    <w:p>
      <w:pPr>
        <w:spacing w:after="120"/>
      </w:pPr>
      <w:r>
        <w:rPr>
          <w:b w:val="false"/>
          <w:bCs w:val="false"/>
        </w:rPr>
        <w:t xml:space="preserve">sudo launchctl load /Library/LaunchDaemons/com.openclaw.iogpu.wired_limit.plist</w:t>
      </w:r>
    </w:p>
    <w:p>
      <w:pPr>
        <w:pStyle w:val="Heading1"/>
        <w:spacing w:after="140" w:before="280"/>
      </w:pPr>
      <w:r>
        <w:t xml:space="preserve">5. Verify — should return the MB value set above</w:t>
      </w:r>
    </w:p>
    <w:p>
      <w:pPr>
        <w:spacing w:after="120"/>
      </w:pPr>
      <w:r>
        <w:rPr>
          <w:b w:val="false"/>
          <w:bCs w:val="false"/>
        </w:rPr>
        <w:t xml:space="preserve">sysctl iogpu.wired_limit_mb</w:t>
      </w:r>
    </w:p>
    <w:p>
      <w:pPr>
        <w:pStyle w:val="Heading1"/>
        <w:spacing w:after="140" w:before="280"/>
      </w:pPr>
      <w:r>
        <w:t xml:space="preserve">6.  Audit and Logging</w:t>
      </w:r>
    </w:p>
    <w:p>
      <w:pPr>
        <w:spacing w:after="120"/>
      </w:pPr>
      <w:r>
        <w:rPr>
          <w:b w:val="false"/>
          <w:bCs w:val="false"/>
        </w:rPr>
        <w:t xml:space="preserve">Three log sources provide a complete audit trail for this setting. SIP remains intact throughout.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Mar>
              <w:top w:type="dxa" w:w="60"/>
              <w:left w:type="dxa" w:w="100"/>
              <w:bottom w:type="dxa" w:w="60"/>
              <w:right w:type="dxa" w:w="100"/>
            </w:tcMar>
          </w:tcPr>
          <w:p>
            <w:r>
              <w:rPr>
                <w:b/>
                <w:bCs/>
              </w:rPr>
              <w:t xml:space="preserve">Log Source</w:t>
            </w:r>
          </w:p>
        </w:tc>
        <w:tc>
          <w:tcPr>
            <w:tcW w:type="dxa" w:w="3000"/>
            <w:shd w:fill="D9E2F3" w:val="clear"/>
            <w:tcMar>
              <w:top w:type="dxa" w:w="60"/>
              <w:left w:type="dxa" w:w="100"/>
              <w:bottom w:type="dxa" w:w="60"/>
              <w:right w:type="dxa" w:w="100"/>
            </w:tcMar>
          </w:tcPr>
          <w:p>
            <w:r>
              <w:rPr>
                <w:b/>
                <w:bCs/>
              </w:rPr>
              <w:t xml:space="preserve">Location</w:t>
            </w:r>
          </w:p>
        </w:tc>
        <w:tc>
          <w:tcPr>
            <w:tcW w:type="dxa" w:w="3000"/>
            <w:shd w:fill="D9E2F3" w:val="clear"/>
            <w:tcMar>
              <w:top w:type="dxa" w:w="60"/>
              <w:left w:type="dxa" w:w="100"/>
              <w:bottom w:type="dxa" w:w="60"/>
              <w:right w:type="dxa" w:w="100"/>
            </w:tcMar>
          </w:tcPr>
          <w:p>
            <w:r>
              <w:rPr>
                <w:b/>
                <w:bCs/>
              </w:rPr>
              <w:t xml:space="preserve">What It Records</w:t>
            </w:r>
          </w:p>
        </w:tc>
      </w:tr>
      <w:tr>
        <w:tc>
          <w:tcPr>
            <w:tcW w:type="dxa" w:w="3000"/>
            <w:tcMar>
              <w:top w:type="dxa" w:w="60"/>
              <w:left w:type="dxa" w:w="100"/>
              <w:bottom w:type="dxa" w:w="60"/>
              <w:right w:type="dxa" w:w="100"/>
            </w:tcMar>
          </w:tcPr>
          <w:p>
            <w:r>
              <w:rPr>
                <w:b w:val="false"/>
                <w:bCs w:val="false"/>
              </w:rPr>
              <w:t xml:space="preserve">LaunchDaemon stdout</w:t>
            </w:r>
          </w:p>
        </w:tc>
        <w:tc>
          <w:tcPr>
            <w:tcW w:type="dxa" w:w="3000"/>
            <w:tcMar>
              <w:top w:type="dxa" w:w="60"/>
              <w:left w:type="dxa" w:w="100"/>
              <w:bottom w:type="dxa" w:w="60"/>
              <w:right w:type="dxa" w:w="100"/>
            </w:tcMar>
          </w:tcPr>
          <w:p>
            <w:r>
              <w:rPr>
                <w:b w:val="false"/>
                <w:bCs w:val="false"/>
              </w:rPr>
              <w:t xml:space="preserve">/var/log/openclaw/iogpu_wired_limit.log</w:t>
            </w:r>
          </w:p>
        </w:tc>
        <w:tc>
          <w:tcPr>
            <w:tcW w:type="dxa" w:w="3000"/>
            <w:tcMar>
              <w:top w:type="dxa" w:w="60"/>
              <w:left w:type="dxa" w:w="100"/>
              <w:bottom w:type="dxa" w:w="60"/>
              <w:right w:type="dxa" w:w="100"/>
            </w:tcMar>
          </w:tcPr>
          <w:p>
            <w:r>
              <w:rPr>
                <w:b w:val="false"/>
                <w:bCs w:val="false"/>
              </w:rPr>
              <w:t xml:space="preserve">sysctl output on each boot confirming the value applied</w:t>
            </w:r>
          </w:p>
        </w:tc>
      </w:tr>
      <w:tr>
        <w:tc>
          <w:tcPr>
            <w:tcW w:type="dxa" w:w="3000"/>
            <w:tcMar>
              <w:top w:type="dxa" w:w="60"/>
              <w:left w:type="dxa" w:w="100"/>
              <w:bottom w:type="dxa" w:w="60"/>
              <w:right w:type="dxa" w:w="100"/>
            </w:tcMar>
          </w:tcPr>
          <w:p>
            <w:r>
              <w:rPr>
                <w:b w:val="false"/>
                <w:bCs w:val="false"/>
              </w:rPr>
              <w:t xml:space="preserve">LaunchDaemon stderr</w:t>
            </w:r>
          </w:p>
        </w:tc>
        <w:tc>
          <w:tcPr>
            <w:tcW w:type="dxa" w:w="3000"/>
            <w:tcMar>
              <w:top w:type="dxa" w:w="60"/>
              <w:left w:type="dxa" w:w="100"/>
              <w:bottom w:type="dxa" w:w="60"/>
              <w:right w:type="dxa" w:w="100"/>
            </w:tcMar>
          </w:tcPr>
          <w:p>
            <w:r>
              <w:rPr>
                <w:b w:val="false"/>
                <w:bCs w:val="false"/>
              </w:rPr>
              <w:t xml:space="preserve">/var/log/openclaw/iogpu_wired_limit_error.log</w:t>
            </w:r>
          </w:p>
        </w:tc>
        <w:tc>
          <w:tcPr>
            <w:tcW w:type="dxa" w:w="3000"/>
            <w:tcMar>
              <w:top w:type="dxa" w:w="60"/>
              <w:left w:type="dxa" w:w="100"/>
              <w:bottom w:type="dxa" w:w="60"/>
              <w:right w:type="dxa" w:w="100"/>
            </w:tcMar>
          </w:tcPr>
          <w:p>
            <w:r>
              <w:rPr>
                <w:b w:val="false"/>
                <w:bCs w:val="false"/>
              </w:rPr>
              <w:t xml:space="preserve">Any error output from sysctl at boot — empty on success</w:t>
            </w:r>
          </w:p>
        </w:tc>
      </w:tr>
      <w:tr>
        <w:tc>
          <w:tcPr>
            <w:tcW w:type="dxa" w:w="3000"/>
            <w:tcMar>
              <w:top w:type="dxa" w:w="60"/>
              <w:left w:type="dxa" w:w="100"/>
              <w:bottom w:type="dxa" w:w="60"/>
              <w:right w:type="dxa" w:w="100"/>
            </w:tcMar>
          </w:tcPr>
          <w:p>
            <w:r>
              <w:rPr>
                <w:b w:val="false"/>
                <w:bCs w:val="false"/>
              </w:rPr>
              <w:t xml:space="preserve">macOS Unified Log</w:t>
            </w:r>
          </w:p>
        </w:tc>
        <w:tc>
          <w:tcPr>
            <w:tcW w:type="dxa" w:w="3000"/>
            <w:tcMar>
              <w:top w:type="dxa" w:w="60"/>
              <w:left w:type="dxa" w:w="100"/>
              <w:bottom w:type="dxa" w:w="60"/>
              <w:right w:type="dxa" w:w="100"/>
            </w:tcMar>
          </w:tcPr>
          <w:p>
            <w:r>
              <w:rPr>
                <w:b w:val="false"/>
                <w:bCs w:val="false"/>
              </w:rPr>
              <w:t xml:space="preserve">log show --predicate 'process == "sysctl"' --last boot</w:t>
            </w:r>
          </w:p>
        </w:tc>
        <w:tc>
          <w:tcPr>
            <w:tcW w:type="dxa" w:w="3000"/>
            <w:tcMar>
              <w:top w:type="dxa" w:w="60"/>
              <w:left w:type="dxa" w:w="100"/>
              <w:bottom w:type="dxa" w:w="60"/>
              <w:right w:type="dxa" w:w="100"/>
            </w:tcMar>
          </w:tcPr>
          <w:p>
            <w:r>
              <w:rPr>
                <w:b w:val="false"/>
                <w:bCs w:val="false"/>
              </w:rPr>
              <w:t xml:space="preserve">Kernel-level record of the sysctl parameter change at boot</w:t>
            </w:r>
          </w:p>
        </w:tc>
      </w:tr>
    </w:tbl>
    <w:p>
      <w:pPr>
        <w:spacing w:after="160"/>
      </w:pPr>
    </w:p>
    <w:p>
      <w:pPr>
        <w:spacing w:after="120"/>
      </w:pPr>
      <w:r>
        <w:rPr>
          <w:b w:val="false"/>
          <w:bCs w:val="false"/>
        </w:rPr>
        <w:t xml:space="preserve">The openclaw log directory (/var/log/openclaw/) is included in the nightly pg_dump backup scope review (ADR-019). Log rotation is not required in Phase 1; files are small (one line per boot).</w:t>
      </w:r>
    </w:p>
    <w:p>
      <w:pPr>
        <w:spacing w:after="120"/>
      </w:pPr>
      <w:r>
        <w:rPr>
          <w:b w:val="false"/>
          <w:bCs w:val="false"/>
        </w:rPr>
        <w:t xml:space="preserve">Verification command — run after each boot to confirm active value:</w:t>
      </w:r>
    </w:p>
    <w:p>
      <w:pPr>
        <w:spacing w:after="120"/>
      </w:pPr>
      <w:r>
        <w:rPr>
          <w:b w:val="false"/>
          <w:bCs w:val="false"/>
        </w:rPr>
        <w:t xml:space="preserve">sysctl iogpu.wired_limit_mb</w:t>
      </w:r>
    </w:p>
    <w:p>
      <w:pPr>
        <w:spacing w:after="120"/>
      </w:pPr>
      <w:r>
        <w:rPr>
          <w:b w:val="false"/>
          <w:bCs w:val="false"/>
        </w:rPr>
        <w:t xml:space="preserve">Expected output for 32 GB config: iogpu.wired_limit_mb: 28672</w:t>
      </w:r>
    </w:p>
    <w:p>
      <w:pPr>
        <w:spacing w:after="120"/>
      </w:pPr>
      <w:r>
        <w:rPr>
          <w:b w:val="false"/>
          <w:bCs w:val="false"/>
        </w:rPr>
        <w:t xml:space="preserve">Expected output for 64 GB config: iogpu.wired_limit_mb: 58982</w:t>
      </w:r>
    </w:p>
    <w:p>
      <w:pPr>
        <w:pStyle w:val="Heading1"/>
        <w:spacing w:after="140" w:before="280"/>
      </w:pPr>
      <w:r>
        <w:t xml:space="preserve">7.  ADR-033 Threshold Amendment</w:t>
      </w:r>
    </w:p>
    <w:p>
      <w:pPr>
        <w:spacing w:after="120"/>
      </w:pPr>
      <w:r>
        <w:rPr>
          <w:b w:val="false"/>
          <w:bCs w:val="false"/>
        </w:rPr>
        <w:t xml:space="preserve">ADR-033 Section 4 defines unified memory alert thresholds based on the 32GB default configuration with no VRAM allocation change. Those thresholds must be updated to reflect the reduced OS headroom introduced by this ADR. This section constitutes the formal amendment.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9E2F3" w:val="clear"/>
            <w:tcMar>
              <w:top w:type="dxa" w:w="60"/>
              <w:left w:type="dxa" w:w="100"/>
              <w:bottom w:type="dxa" w:w="60"/>
              <w:right w:type="dxa" w:w="100"/>
            </w:tcMar>
          </w:tcPr>
          <w:p>
            <w:r>
              <w:rPr>
                <w:b/>
                <w:bCs/>
              </w:rPr>
              <w:t xml:space="preserve">Config</w:t>
            </w:r>
          </w:p>
        </w:tc>
        <w:tc>
          <w:tcPr>
            <w:tcW w:type="dxa" w:w="1800"/>
            <w:shd w:fill="D9E2F3" w:val="clear"/>
            <w:tcMar>
              <w:top w:type="dxa" w:w="60"/>
              <w:left w:type="dxa" w:w="100"/>
              <w:bottom w:type="dxa" w:w="60"/>
              <w:right w:type="dxa" w:w="100"/>
            </w:tcMar>
          </w:tcPr>
          <w:p>
            <w:r>
              <w:rPr>
                <w:b/>
                <w:bCs/>
              </w:rPr>
              <w:t xml:space="preserve">Metric</w:t>
            </w:r>
          </w:p>
        </w:tc>
        <w:tc>
          <w:tcPr>
            <w:tcW w:type="dxa" w:w="1800"/>
            <w:shd w:fill="D9E2F3" w:val="clear"/>
            <w:tcMar>
              <w:top w:type="dxa" w:w="60"/>
              <w:left w:type="dxa" w:w="100"/>
              <w:bottom w:type="dxa" w:w="60"/>
              <w:right w:type="dxa" w:w="100"/>
            </w:tcMar>
          </w:tcPr>
          <w:p>
            <w:r>
              <w:rPr>
                <w:b/>
                <w:bCs/>
              </w:rPr>
              <w:t xml:space="preserve">ADR-033 Original</w:t>
            </w:r>
          </w:p>
        </w:tc>
        <w:tc>
          <w:tcPr>
            <w:tcW w:type="dxa" w:w="1800"/>
            <w:shd w:fill="D9E2F3" w:val="clear"/>
            <w:tcMar>
              <w:top w:type="dxa" w:w="60"/>
              <w:left w:type="dxa" w:w="100"/>
              <w:bottom w:type="dxa" w:w="60"/>
              <w:right w:type="dxa" w:w="100"/>
            </w:tcMar>
          </w:tcPr>
          <w:p>
            <w:r>
              <w:rPr>
                <w:b/>
                <w:bCs/>
              </w:rPr>
              <w:t xml:space="preserve">ADR-036 Revised</w:t>
            </w:r>
          </w:p>
        </w:tc>
        <w:tc>
          <w:tcPr>
            <w:tcW w:type="dxa" w:w="1800"/>
            <w:shd w:fill="D9E2F3" w:val="clear"/>
            <w:tcMar>
              <w:top w:type="dxa" w:w="60"/>
              <w:left w:type="dxa" w:w="100"/>
              <w:bottom w:type="dxa" w:w="60"/>
              <w:right w:type="dxa" w:w="100"/>
            </w:tcMar>
          </w:tcPr>
          <w:p>
            <w:r>
              <w:rPr>
                <w:b/>
                <w:bCs/>
              </w:rPr>
              <w:t xml:space="preserve">Rationale</w:t>
            </w:r>
          </w:p>
        </w:tc>
      </w:tr>
      <w:tr>
        <w:tc>
          <w:tcPr>
            <w:tcW w:type="dxa" w:w="1800"/>
            <w:tcMar>
              <w:top w:type="dxa" w:w="60"/>
              <w:left w:type="dxa" w:w="100"/>
              <w:bottom w:type="dxa" w:w="60"/>
              <w:right w:type="dxa" w:w="100"/>
            </w:tcMar>
          </w:tcPr>
          <w:p>
            <w:r>
              <w:rPr>
                <w:b w:val="false"/>
                <w:bCs w:val="false"/>
              </w:rPr>
              <w:t xml:space="preserve">32 GB</w:t>
            </w:r>
          </w:p>
        </w:tc>
        <w:tc>
          <w:tcPr>
            <w:tcW w:type="dxa" w:w="1800"/>
            <w:tcMar>
              <w:top w:type="dxa" w:w="60"/>
              <w:left w:type="dxa" w:w="100"/>
              <w:bottom w:type="dxa" w:w="60"/>
              <w:right w:type="dxa" w:w="100"/>
            </w:tcMar>
          </w:tcPr>
          <w:p>
            <w:r>
              <w:rPr>
                <w:b w:val="false"/>
                <w:bCs w:val="false"/>
              </w:rPr>
              <w:t xml:space="preserve">mem_used_gb yellow</w:t>
            </w:r>
          </w:p>
        </w:tc>
        <w:tc>
          <w:tcPr>
            <w:tcW w:type="dxa" w:w="1800"/>
            <w:tcMar>
              <w:top w:type="dxa" w:w="60"/>
              <w:left w:type="dxa" w:w="100"/>
              <w:bottom w:type="dxa" w:w="60"/>
              <w:right w:type="dxa" w:w="100"/>
            </w:tcMar>
          </w:tcPr>
          <w:p>
            <w:r>
              <w:rPr>
                <w:b w:val="false"/>
                <w:bCs w:val="false"/>
              </w:rPr>
              <w:t xml:space="preserve">28 GB</w:t>
            </w:r>
          </w:p>
        </w:tc>
        <w:tc>
          <w:tcPr>
            <w:tcW w:type="dxa" w:w="1800"/>
            <w:tcMar>
              <w:top w:type="dxa" w:w="60"/>
              <w:left w:type="dxa" w:w="100"/>
              <w:bottom w:type="dxa" w:w="60"/>
              <w:right w:type="dxa" w:w="100"/>
            </w:tcMar>
          </w:tcPr>
          <w:p>
            <w:r>
              <w:rPr>
                <w:b/>
                <w:bCs/>
              </w:rPr>
              <w:t xml:space="preserve">26 GB</w:t>
            </w:r>
          </w:p>
        </w:tc>
        <w:tc>
          <w:tcPr>
            <w:tcW w:type="dxa" w:w="1800"/>
            <w:tcMar>
              <w:top w:type="dxa" w:w="60"/>
              <w:left w:type="dxa" w:w="100"/>
              <w:bottom w:type="dxa" w:w="60"/>
              <w:right w:type="dxa" w:w="100"/>
            </w:tcMar>
          </w:tcPr>
          <w:p>
            <w:r>
              <w:rPr>
                <w:b w:val="false"/>
                <w:bCs w:val="false"/>
              </w:rPr>
              <w:t xml:space="preserve">OS reserve is ~4 GB; alert when within 2 GB of GPU allocation ceiling</w:t>
            </w:r>
          </w:p>
        </w:tc>
      </w:tr>
      <w:tr>
        <w:tc>
          <w:tcPr>
            <w:tcW w:type="dxa" w:w="1800"/>
            <w:tcMar>
              <w:top w:type="dxa" w:w="60"/>
              <w:left w:type="dxa" w:w="100"/>
              <w:bottom w:type="dxa" w:w="60"/>
              <w:right w:type="dxa" w:w="100"/>
            </w:tcMar>
          </w:tcPr>
          <w:p>
            <w:r>
              <w:rPr>
                <w:b w:val="false"/>
                <w:bCs w:val="false"/>
              </w:rPr>
              <w:t xml:space="preserve">32 GB</w:t>
            </w:r>
          </w:p>
        </w:tc>
        <w:tc>
          <w:tcPr>
            <w:tcW w:type="dxa" w:w="1800"/>
            <w:tcMar>
              <w:top w:type="dxa" w:w="60"/>
              <w:left w:type="dxa" w:w="100"/>
              <w:bottom w:type="dxa" w:w="60"/>
              <w:right w:type="dxa" w:w="100"/>
            </w:tcMar>
          </w:tcPr>
          <w:p>
            <w:r>
              <w:rPr>
                <w:b w:val="false"/>
                <w:bCs w:val="false"/>
              </w:rPr>
              <w:t xml:space="preserve">mem_used_gb red</w:t>
            </w:r>
          </w:p>
        </w:tc>
        <w:tc>
          <w:tcPr>
            <w:tcW w:type="dxa" w:w="1800"/>
            <w:tcMar>
              <w:top w:type="dxa" w:w="60"/>
              <w:left w:type="dxa" w:w="100"/>
              <w:bottom w:type="dxa" w:w="60"/>
              <w:right w:type="dxa" w:w="100"/>
            </w:tcMar>
          </w:tcPr>
          <w:p>
            <w:r>
              <w:rPr>
                <w:b w:val="false"/>
                <w:bCs w:val="false"/>
              </w:rPr>
              <w:t xml:space="preserve">30 GB</w:t>
            </w:r>
          </w:p>
        </w:tc>
        <w:tc>
          <w:tcPr>
            <w:tcW w:type="dxa" w:w="1800"/>
            <w:tcMar>
              <w:top w:type="dxa" w:w="60"/>
              <w:left w:type="dxa" w:w="100"/>
              <w:bottom w:type="dxa" w:w="60"/>
              <w:right w:type="dxa" w:w="100"/>
            </w:tcMar>
          </w:tcPr>
          <w:p>
            <w:r>
              <w:rPr>
                <w:b/>
                <w:bCs/>
              </w:rPr>
              <w:t xml:space="preserve">28 GB</w:t>
            </w:r>
          </w:p>
        </w:tc>
        <w:tc>
          <w:tcPr>
            <w:tcW w:type="dxa" w:w="1800"/>
            <w:tcMar>
              <w:top w:type="dxa" w:w="60"/>
              <w:left w:type="dxa" w:w="100"/>
              <w:bottom w:type="dxa" w:w="60"/>
              <w:right w:type="dxa" w:w="100"/>
            </w:tcMar>
          </w:tcPr>
          <w:p>
            <w:r>
              <w:rPr>
                <w:b w:val="false"/>
                <w:bCs w:val="false"/>
              </w:rPr>
              <w:t xml:space="preserve">Red at GPU allocation ceiling — any usage above this risks OS starvation</w:t>
            </w:r>
          </w:p>
        </w:tc>
      </w:tr>
      <w:tr>
        <w:tc>
          <w:tcPr>
            <w:tcW w:type="dxa" w:w="1800"/>
            <w:tcMar>
              <w:top w:type="dxa" w:w="60"/>
              <w:left w:type="dxa" w:w="100"/>
              <w:bottom w:type="dxa" w:w="60"/>
              <w:right w:type="dxa" w:w="100"/>
            </w:tcMar>
          </w:tcPr>
          <w:p>
            <w:r>
              <w:rPr>
                <w:b w:val="false"/>
                <w:bCs w:val="false"/>
              </w:rPr>
              <w:t xml:space="preserve">64 GB</w:t>
            </w:r>
          </w:p>
        </w:tc>
        <w:tc>
          <w:tcPr>
            <w:tcW w:type="dxa" w:w="1800"/>
            <w:tcMar>
              <w:top w:type="dxa" w:w="60"/>
              <w:left w:type="dxa" w:w="100"/>
              <w:bottom w:type="dxa" w:w="60"/>
              <w:right w:type="dxa" w:w="100"/>
            </w:tcMar>
          </w:tcPr>
          <w:p>
            <w:r>
              <w:rPr>
                <w:b w:val="false"/>
                <w:bCs w:val="false"/>
              </w:rPr>
              <w:t xml:space="preserve">mem_used_gb yellow</w:t>
            </w:r>
          </w:p>
        </w:tc>
        <w:tc>
          <w:tcPr>
            <w:tcW w:type="dxa" w:w="1800"/>
            <w:tcMar>
              <w:top w:type="dxa" w:w="60"/>
              <w:left w:type="dxa" w:w="100"/>
              <w:bottom w:type="dxa" w:w="60"/>
              <w:right w:type="dxa" w:w="100"/>
            </w:tcMar>
          </w:tcPr>
          <w:p>
            <w:r>
              <w:rPr>
                <w:b w:val="false"/>
                <w:bCs w:val="false"/>
              </w:rPr>
              <w:t xml:space="preserve">N/A (not previously defined)</w:t>
            </w:r>
          </w:p>
        </w:tc>
        <w:tc>
          <w:tcPr>
            <w:tcW w:type="dxa" w:w="1800"/>
            <w:tcMar>
              <w:top w:type="dxa" w:w="60"/>
              <w:left w:type="dxa" w:w="100"/>
              <w:bottom w:type="dxa" w:w="60"/>
              <w:right w:type="dxa" w:w="100"/>
            </w:tcMar>
          </w:tcPr>
          <w:p>
            <w:r>
              <w:rPr>
                <w:b/>
                <w:bCs/>
              </w:rPr>
              <w:t xml:space="preserve">56 GB</w:t>
            </w:r>
          </w:p>
        </w:tc>
        <w:tc>
          <w:tcPr>
            <w:tcW w:type="dxa" w:w="1800"/>
            <w:tcMar>
              <w:top w:type="dxa" w:w="60"/>
              <w:left w:type="dxa" w:w="100"/>
              <w:bottom w:type="dxa" w:w="60"/>
              <w:right w:type="dxa" w:w="100"/>
            </w:tcMar>
          </w:tcPr>
          <w:p>
            <w:r>
              <w:rPr>
                <w:b w:val="false"/>
                <w:bCs w:val="false"/>
              </w:rPr>
              <w:t xml:space="preserve">~2.5 GB below GPU ceiling; early warning with headroom to act</w:t>
            </w:r>
          </w:p>
        </w:tc>
      </w:tr>
      <w:tr>
        <w:tc>
          <w:tcPr>
            <w:tcW w:type="dxa" w:w="1800"/>
            <w:tcMar>
              <w:top w:type="dxa" w:w="60"/>
              <w:left w:type="dxa" w:w="100"/>
              <w:bottom w:type="dxa" w:w="60"/>
              <w:right w:type="dxa" w:w="100"/>
            </w:tcMar>
          </w:tcPr>
          <w:p>
            <w:r>
              <w:rPr>
                <w:b w:val="false"/>
                <w:bCs w:val="false"/>
              </w:rPr>
              <w:t xml:space="preserve">64 GB</w:t>
            </w:r>
          </w:p>
        </w:tc>
        <w:tc>
          <w:tcPr>
            <w:tcW w:type="dxa" w:w="1800"/>
            <w:tcMar>
              <w:top w:type="dxa" w:w="60"/>
              <w:left w:type="dxa" w:w="100"/>
              <w:bottom w:type="dxa" w:w="60"/>
              <w:right w:type="dxa" w:w="100"/>
            </w:tcMar>
          </w:tcPr>
          <w:p>
            <w:r>
              <w:rPr>
                <w:b w:val="false"/>
                <w:bCs w:val="false"/>
              </w:rPr>
              <w:t xml:space="preserve">mem_used_gb red</w:t>
            </w:r>
          </w:p>
        </w:tc>
        <w:tc>
          <w:tcPr>
            <w:tcW w:type="dxa" w:w="1800"/>
            <w:tcMar>
              <w:top w:type="dxa" w:w="60"/>
              <w:left w:type="dxa" w:w="100"/>
              <w:bottom w:type="dxa" w:w="60"/>
              <w:right w:type="dxa" w:w="100"/>
            </w:tcMar>
          </w:tcPr>
          <w:p>
            <w:r>
              <w:rPr>
                <w:b w:val="false"/>
                <w:bCs w:val="false"/>
              </w:rPr>
              <w:t xml:space="preserve">N/A (not previously defined)</w:t>
            </w:r>
          </w:p>
        </w:tc>
        <w:tc>
          <w:tcPr>
            <w:tcW w:type="dxa" w:w="1800"/>
            <w:tcMar>
              <w:top w:type="dxa" w:w="60"/>
              <w:left w:type="dxa" w:w="100"/>
              <w:bottom w:type="dxa" w:w="60"/>
              <w:right w:type="dxa" w:w="100"/>
            </w:tcMar>
          </w:tcPr>
          <w:p>
            <w:r>
              <w:rPr>
                <w:b/>
                <w:bCs/>
              </w:rPr>
              <w:t xml:space="preserve">58 GB</w:t>
            </w:r>
          </w:p>
        </w:tc>
        <w:tc>
          <w:tcPr>
            <w:tcW w:type="dxa" w:w="1800"/>
            <w:tcMar>
              <w:top w:type="dxa" w:w="60"/>
              <w:left w:type="dxa" w:w="100"/>
              <w:bottom w:type="dxa" w:w="60"/>
              <w:right w:type="dxa" w:w="100"/>
            </w:tcMar>
          </w:tcPr>
          <w:p>
            <w:r>
              <w:rPr>
                <w:b w:val="false"/>
                <w:bCs w:val="false"/>
              </w:rPr>
              <w:t xml:space="preserve">At GPU allocation ceiling — OS starvation risk if crossed</w:t>
            </w:r>
          </w:p>
        </w:tc>
      </w:tr>
    </w:tbl>
    <w:p>
      <w:pPr>
        <w:spacing w:after="160"/>
      </w:pPr>
    </w:p>
    <w:p>
      <w:pPr>
        <w:spacing w:after="120"/>
      </w:pPr>
      <w:r>
        <w:rPr>
          <w:b w:val="false"/>
          <w:bCs w:val="false"/>
        </w:rPr>
        <w:t xml:space="preserve">The hardware_metrics.sql alert view (ADR-034) must be updated on setup day to use the revised thresholds above. The hw_collector.py alert logic is unchanged — it reads thresholds from the view definition.</w:t>
      </w:r>
    </w:p>
    <w:p>
      <w:pPr>
        <w:pStyle w:val="Heading1"/>
        <w:spacing w:after="140" w:before="280"/>
      </w:pPr>
      <w:r>
        <w:t xml:space="preserve">8.  SIP Posture</w:t>
      </w:r>
    </w:p>
    <w:p>
      <w:pPr>
        <w:spacing w:after="120"/>
      </w:pPr>
      <w:r>
        <w:rPr>
          <w:b w:val="false"/>
          <w:bCs w:val="false"/>
        </w:rPr>
        <w:t xml:space="preserve">System Integrity Protection remains enabled throughout the lifecycle of this ADR. The following table documents the options considered and the rejection rationale for each alternative that would have required SIP modification.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Mar>
              <w:top w:type="dxa" w:w="60"/>
              <w:left w:type="dxa" w:w="100"/>
              <w:bottom w:type="dxa" w:w="60"/>
              <w:right w:type="dxa" w:w="100"/>
            </w:tcMar>
          </w:tcPr>
          <w:p>
            <w:r>
              <w:rPr>
                <w:b/>
                <w:bCs/>
              </w:rPr>
              <w:t xml:space="preserve">Method</w:t>
            </w:r>
          </w:p>
        </w:tc>
        <w:tc>
          <w:tcPr>
            <w:tcW w:type="dxa" w:w="3000"/>
            <w:shd w:fill="D9E2F3" w:val="clear"/>
            <w:tcMar>
              <w:top w:type="dxa" w:w="60"/>
              <w:left w:type="dxa" w:w="100"/>
              <w:bottom w:type="dxa" w:w="60"/>
              <w:right w:type="dxa" w:w="100"/>
            </w:tcMar>
          </w:tcPr>
          <w:p>
            <w:r>
              <w:rPr>
                <w:b/>
                <w:bCs/>
              </w:rPr>
              <w:t xml:space="preserve">SIP Required</w:t>
            </w:r>
          </w:p>
        </w:tc>
        <w:tc>
          <w:tcPr>
            <w:tcW w:type="dxa" w:w="3000"/>
            <w:shd w:fill="D9E2F3" w:val="clear"/>
            <w:tcMar>
              <w:top w:type="dxa" w:w="60"/>
              <w:left w:type="dxa" w:w="100"/>
              <w:bottom w:type="dxa" w:w="60"/>
              <w:right w:type="dxa" w:w="100"/>
            </w:tcMar>
          </w:tcPr>
          <w:p>
            <w:r>
              <w:rPr>
                <w:b/>
                <w:bCs/>
              </w:rPr>
              <w:t xml:space="preserve">Decision</w:t>
            </w:r>
          </w:p>
        </w:tc>
      </w:tr>
      <w:tr>
        <w:tc>
          <w:tcPr>
            <w:tcW w:type="dxa" w:w="3000"/>
            <w:tcMar>
              <w:top w:type="dxa" w:w="60"/>
              <w:left w:type="dxa" w:w="100"/>
              <w:bottom w:type="dxa" w:w="60"/>
              <w:right w:type="dxa" w:w="100"/>
            </w:tcMar>
          </w:tcPr>
          <w:p>
            <w:r>
              <w:rPr>
                <w:b w:val="false"/>
                <w:bCs w:val="false"/>
              </w:rPr>
              <w:t xml:space="preserve">LaunchDaemon plist (this ADR)</w:t>
            </w:r>
          </w:p>
        </w:tc>
        <w:tc>
          <w:tcPr>
            <w:tcW w:type="dxa" w:w="3000"/>
            <w:tcMar>
              <w:top w:type="dxa" w:w="60"/>
              <w:left w:type="dxa" w:w="100"/>
              <w:bottom w:type="dxa" w:w="60"/>
              <w:right w:type="dxa" w:w="100"/>
            </w:tcMar>
          </w:tcPr>
          <w:p>
            <w:r>
              <w:rPr>
                <w:b w:val="false"/>
                <w:bCs w:val="false"/>
              </w:rPr>
              <w:t xml:space="preserve">No — SIP intact</w:t>
            </w:r>
          </w:p>
        </w:tc>
        <w:tc>
          <w:tcPr>
            <w:tcW w:type="dxa" w:w="3000"/>
            <w:tcMar>
              <w:top w:type="dxa" w:w="60"/>
              <w:left w:type="dxa" w:w="100"/>
              <w:bottom w:type="dxa" w:w="60"/>
              <w:right w:type="dxa" w:w="100"/>
            </w:tcMar>
          </w:tcPr>
          <w:p>
            <w:r>
              <w:rPr>
                <w:b w:val="false"/>
                <w:bCs w:val="false"/>
              </w:rPr>
              <w:t xml:space="preserve">ADOPTED. Runtime kernel parameter applied via launchd. Auditable, reversible, survives updates.</w:t>
            </w:r>
          </w:p>
        </w:tc>
      </w:tr>
      <w:tr>
        <w:tc>
          <w:tcPr>
            <w:tcW w:type="dxa" w:w="3000"/>
            <w:tcMar>
              <w:top w:type="dxa" w:w="60"/>
              <w:left w:type="dxa" w:w="100"/>
              <w:bottom w:type="dxa" w:w="60"/>
              <w:right w:type="dxa" w:w="100"/>
            </w:tcMar>
          </w:tcPr>
          <w:p>
            <w:r>
              <w:rPr>
                <w:b w:val="false"/>
                <w:bCs w:val="false"/>
              </w:rPr>
              <w:t xml:space="preserve">/etc/sysctl.conf modification</w:t>
            </w:r>
          </w:p>
        </w:tc>
        <w:tc>
          <w:tcPr>
            <w:tcW w:type="dxa" w:w="3000"/>
            <w:tcMar>
              <w:top w:type="dxa" w:w="60"/>
              <w:left w:type="dxa" w:w="100"/>
              <w:bottom w:type="dxa" w:w="60"/>
              <w:right w:type="dxa" w:w="100"/>
            </w:tcMar>
          </w:tcPr>
          <w:p>
            <w:r>
              <w:rPr>
                <w:b w:val="false"/>
                <w:bCs w:val="false"/>
              </w:rPr>
              <w:t xml:space="preserve">Yes — SIP must be disabled</w:t>
            </w:r>
          </w:p>
        </w:tc>
        <w:tc>
          <w:tcPr>
            <w:tcW w:type="dxa" w:w="3000"/>
            <w:tcMar>
              <w:top w:type="dxa" w:w="60"/>
              <w:left w:type="dxa" w:w="100"/>
              <w:bottom w:type="dxa" w:w="60"/>
              <w:right w:type="dxa" w:w="100"/>
            </w:tcMar>
          </w:tcPr>
          <w:p>
            <w:r>
              <w:rPr>
                <w:b w:val="false"/>
                <w:bCs w:val="false"/>
              </w:rPr>
              <w:t xml:space="preserve">REJECTED. SIP disablement degrades the security posture established in ADR-023 and ADR-032. Risk disproportionate to benefit.</w:t>
            </w:r>
          </w:p>
        </w:tc>
      </w:tr>
      <w:tr>
        <w:tc>
          <w:tcPr>
            <w:tcW w:type="dxa" w:w="3000"/>
            <w:tcMar>
              <w:top w:type="dxa" w:w="60"/>
              <w:left w:type="dxa" w:w="100"/>
              <w:bottom w:type="dxa" w:w="60"/>
              <w:right w:type="dxa" w:w="100"/>
            </w:tcMar>
          </w:tcPr>
          <w:p>
            <w:r>
              <w:rPr>
                <w:b w:val="false"/>
                <w:bCs w:val="false"/>
              </w:rPr>
              <w:t xml:space="preserve">Manual sysctl on each boot</w:t>
            </w:r>
          </w:p>
        </w:tc>
        <w:tc>
          <w:tcPr>
            <w:tcW w:type="dxa" w:w="3000"/>
            <w:tcMar>
              <w:top w:type="dxa" w:w="60"/>
              <w:left w:type="dxa" w:w="100"/>
              <w:bottom w:type="dxa" w:w="60"/>
              <w:right w:type="dxa" w:w="100"/>
            </w:tcMar>
          </w:tcPr>
          <w:p>
            <w:r>
              <w:rPr>
                <w:b w:val="false"/>
                <w:bCs w:val="false"/>
              </w:rPr>
              <w:t xml:space="preserve">No</w:t>
            </w:r>
          </w:p>
        </w:tc>
        <w:tc>
          <w:tcPr>
            <w:tcW w:type="dxa" w:w="3000"/>
            <w:tcMar>
              <w:top w:type="dxa" w:w="60"/>
              <w:left w:type="dxa" w:w="100"/>
              <w:bottom w:type="dxa" w:w="60"/>
              <w:right w:type="dxa" w:w="100"/>
            </w:tcMar>
          </w:tcPr>
          <w:p>
            <w:r>
              <w:rPr>
                <w:b w:val="false"/>
                <w:bCs w:val="false"/>
              </w:rPr>
              <w:t xml:space="preserve">REJECTED. Requires operator action on every reboot. Not suitable for an unattended headless server.</w:t>
            </w:r>
          </w:p>
        </w:tc>
      </w:tr>
      <w:tr>
        <w:tc>
          <w:tcPr>
            <w:tcW w:type="dxa" w:w="3000"/>
            <w:tcMar>
              <w:top w:type="dxa" w:w="60"/>
              <w:left w:type="dxa" w:w="100"/>
              <w:bottom w:type="dxa" w:w="60"/>
              <w:right w:type="dxa" w:w="100"/>
            </w:tcMar>
          </w:tcPr>
          <w:p>
            <w:r>
              <w:rPr>
                <w:b w:val="false"/>
                <w:bCs w:val="false"/>
              </w:rPr>
              <w:t xml:space="preserve">Kernel extension / kext patch</w:t>
            </w:r>
          </w:p>
        </w:tc>
        <w:tc>
          <w:tcPr>
            <w:tcW w:type="dxa" w:w="3000"/>
            <w:tcMar>
              <w:top w:type="dxa" w:w="60"/>
              <w:left w:type="dxa" w:w="100"/>
              <w:bottom w:type="dxa" w:w="60"/>
              <w:right w:type="dxa" w:w="100"/>
            </w:tcMar>
          </w:tcPr>
          <w:p>
            <w:r>
              <w:rPr>
                <w:b w:val="false"/>
                <w:bCs w:val="false"/>
              </w:rPr>
              <w:t xml:space="preserve">Yes — SIP must be disabled</w:t>
            </w:r>
          </w:p>
        </w:tc>
        <w:tc>
          <w:tcPr>
            <w:tcW w:type="dxa" w:w="3000"/>
            <w:tcMar>
              <w:top w:type="dxa" w:w="60"/>
              <w:left w:type="dxa" w:w="100"/>
              <w:bottom w:type="dxa" w:w="60"/>
              <w:right w:type="dxa" w:w="100"/>
            </w:tcMar>
          </w:tcPr>
          <w:p>
            <w:r>
              <w:rPr>
                <w:b w:val="false"/>
                <w:bCs w:val="false"/>
              </w:rPr>
              <w:t xml:space="preserve">REJECTED. Unsupported, high risk, not reversible without SIP re-enablement.</w:t>
            </w:r>
          </w:p>
        </w:tc>
      </w:tr>
    </w:tbl>
    <w:p>
      <w:pPr>
        <w:spacing w:after="160"/>
      </w:pPr>
    </w:p>
    <w:p>
      <w:pPr>
        <w:pStyle w:val="Heading1"/>
        <w:spacing w:after="140" w:before="280"/>
      </w:pPr>
      <w:r>
        <w:t xml:space="preserve">9.  Reversal Procedure</w:t>
      </w:r>
    </w:p>
    <w:p>
      <w:pPr>
        <w:spacing w:after="120"/>
      </w:pPr>
      <w:r>
        <w:rPr>
          <w:b w:val="false"/>
          <w:bCs w:val="false"/>
        </w:rPr>
        <w:t xml:space="preserve">If the system exhibits instability (swap &gt; 0, memory pressure red, thermal stress, kernel panic) the operator reverses this setting in two steps:</w:t>
      </w:r>
    </w:p>
    <w:p>
      <w:pPr>
        <w:spacing w:after="120"/>
      </w:pPr>
      <w:r>
        <w:rPr>
          <w:b w:val="false"/>
          <w:bCs w:val="false"/>
        </w:rPr>
        <w:t xml:space="preserve">Step 1 — Immediate (no reboot required):</w:t>
      </w:r>
    </w:p>
    <w:p>
      <w:pPr>
        <w:spacing w:after="120"/>
      </w:pPr>
      <w:r>
        <w:rPr>
          <w:b w:val="false"/>
          <w:bCs w:val="false"/>
        </w:rPr>
        <w:t xml:space="preserve">sudo sysctl iogpu.wired_limit_mb=0</w:t>
      </w:r>
    </w:p>
    <w:p>
      <w:pPr>
        <w:spacing w:after="120"/>
      </w:pPr>
      <w:r>
        <w:rPr>
          <w:b w:val="false"/>
          <w:bCs w:val="false"/>
        </w:rPr>
        <w:t xml:space="preserve">This resets the GPU cap to the macOS 75% default immediately. No reboot required. Takes effect within seconds.</w:t>
      </w:r>
    </w:p>
    <w:p>
      <w:pPr>
        <w:spacing w:after="120"/>
      </w:pPr>
      <w:r>
        <w:rPr>
          <w:b w:val="false"/>
          <w:bCs w:val="false"/>
        </w:rPr>
        <w:t xml:space="preserve">Step 2 — Prevent reapplication on next reboot:</w:t>
      </w:r>
    </w:p>
    <w:p>
      <w:pPr>
        <w:spacing w:after="120"/>
      </w:pPr>
      <w:r>
        <w:rPr>
          <w:b w:val="false"/>
          <w:bCs w:val="false"/>
        </w:rPr>
        <w:t xml:space="preserve">sudo launchctl unload /Library/LaunchDaemons/com.openclaw.iogpu.wired_limit.plist</w:t>
      </w:r>
    </w:p>
    <w:p>
      <w:pPr>
        <w:spacing w:after="120"/>
      </w:pPr>
      <w:r>
        <w:rPr>
          <w:b w:val="false"/>
          <w:bCs w:val="false"/>
        </w:rPr>
        <w:t xml:space="preserve">To permanently remove the setting:</w:t>
      </w:r>
    </w:p>
    <w:p>
      <w:pPr>
        <w:spacing w:after="120"/>
      </w:pPr>
      <w:r>
        <w:rPr>
          <w:b w:val="false"/>
          <w:bCs w:val="false"/>
        </w:rPr>
        <w:t xml:space="preserve">sudo rm /Library/LaunchDaemons/com.openclaw.iogpu.wired_limit.plist</w:t>
      </w:r>
    </w:p>
    <w:p>
      <w:pPr>
        <w:spacing w:after="120"/>
      </w:pPr>
      <w:r>
        <w:rPr>
          <w:b w:val="false"/>
          <w:bCs w:val="false"/>
        </w:rPr>
        <w:t xml:space="preserve">On reboot without the LaunchDaemon, the system returns to the macOS default (75% cap). No kernel modification, no SIP change, and no data loss occurs at any stage of reversal.</w:t>
      </w:r>
    </w:p>
    <w:p>
      <w:pPr>
        <w:spacing w:after="120"/>
      </w:pPr>
      <w:r>
        <w:rPr>
          <w:b w:val="false"/>
          <w:bCs w:val="false"/>
        </w:rPr>
        <w:t xml:space="preserve">If the 32 GB configuration is unstable at 87.5% (28,672 MB), reduce to 85% (27,648 MB) before attempting full reversal. Intermediate values may provide stable operation at a reduced but still above-default GPU allocation.</w:t>
      </w:r>
    </w:p>
    <w:p>
      <w:pPr>
        <w:pStyle w:val="Heading1"/>
        <w:spacing w:after="140" w:before="280"/>
      </w:pPr>
      <w:r>
        <w:t xml:space="preserve">10.  NIST 800-53 Alignment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D9E2F3" w:val="clear"/>
            <w:tcMar>
              <w:top w:type="dxa" w:w="60"/>
              <w:left w:type="dxa" w:w="100"/>
              <w:bottom w:type="dxa" w:w="60"/>
              <w:right w:type="dxa" w:w="100"/>
            </w:tcMar>
          </w:tcPr>
          <w:p>
            <w:r>
              <w:rPr>
                <w:b/>
                <w:bCs/>
              </w:rPr>
              <w:t xml:space="preserve">Control</w:t>
            </w:r>
          </w:p>
        </w:tc>
        <w:tc>
          <w:tcPr>
            <w:tcW w:type="dxa" w:w="2250"/>
            <w:shd w:fill="D9E2F3" w:val="clear"/>
            <w:tcMar>
              <w:top w:type="dxa" w:w="60"/>
              <w:left w:type="dxa" w:w="100"/>
              <w:bottom w:type="dxa" w:w="60"/>
              <w:right w:type="dxa" w:w="100"/>
            </w:tcMar>
          </w:tcPr>
          <w:p>
            <w:r>
              <w:rPr>
                <w:b/>
                <w:bCs/>
              </w:rPr>
              <w:t xml:space="preserve">Title</w:t>
            </w:r>
          </w:p>
        </w:tc>
        <w:tc>
          <w:tcPr>
            <w:tcW w:type="dxa" w:w="2250"/>
            <w:shd w:fill="D9E2F3" w:val="clear"/>
            <w:tcMar>
              <w:top w:type="dxa" w:w="60"/>
              <w:left w:type="dxa" w:w="100"/>
              <w:bottom w:type="dxa" w:w="60"/>
              <w:right w:type="dxa" w:w="100"/>
            </w:tcMar>
          </w:tcPr>
          <w:p>
            <w:r>
              <w:rPr>
                <w:b/>
                <w:bCs/>
              </w:rPr>
              <w:t xml:space="preserve">Status</w:t>
            </w:r>
          </w:p>
        </w:tc>
        <w:tc>
          <w:tcPr>
            <w:tcW w:type="dxa" w:w="2250"/>
            <w:shd w:fill="D9E2F3" w:val="clear"/>
            <w:tcMar>
              <w:top w:type="dxa" w:w="60"/>
              <w:left w:type="dxa" w:w="100"/>
              <w:bottom w:type="dxa" w:w="60"/>
              <w:right w:type="dxa" w:w="100"/>
            </w:tcMar>
          </w:tcPr>
          <w:p>
            <w:r>
              <w:rPr>
                <w:b/>
                <w:bCs/>
              </w:rPr>
              <w:t xml:space="preserve">Implementation</w:t>
            </w:r>
          </w:p>
        </w:tc>
      </w:tr>
      <w:tr>
        <w:tc>
          <w:tcPr>
            <w:tcW w:type="dxa" w:w="2250"/>
            <w:tcMar>
              <w:top w:type="dxa" w:w="60"/>
              <w:left w:type="dxa" w:w="100"/>
              <w:bottom w:type="dxa" w:w="60"/>
              <w:right w:type="dxa" w:w="100"/>
            </w:tcMar>
          </w:tcPr>
          <w:p>
            <w:r>
              <w:rPr>
                <w:b w:val="false"/>
                <w:bCs w:val="false"/>
              </w:rPr>
              <w:t xml:space="preserve">SA-2</w:t>
            </w:r>
          </w:p>
        </w:tc>
        <w:tc>
          <w:tcPr>
            <w:tcW w:type="dxa" w:w="2250"/>
            <w:tcMar>
              <w:top w:type="dxa" w:w="60"/>
              <w:left w:type="dxa" w:w="100"/>
              <w:bottom w:type="dxa" w:w="60"/>
              <w:right w:type="dxa" w:w="100"/>
            </w:tcMar>
          </w:tcPr>
          <w:p>
            <w:r>
              <w:rPr>
                <w:b w:val="false"/>
                <w:bCs w:val="false"/>
              </w:rPr>
              <w:t xml:space="preserve">Allocation of Resources</w:t>
            </w:r>
          </w:p>
        </w:tc>
        <w:tc>
          <w:tcPr>
            <w:tcW w:type="dxa" w:w="2250"/>
            <w:tcMar>
              <w:top w:type="dxa" w:w="60"/>
              <w:left w:type="dxa" w:w="100"/>
              <w:bottom w:type="dxa" w:w="60"/>
              <w:right w:type="dxa" w:w="100"/>
            </w:tcMar>
          </w:tcPr>
          <w:p>
            <w:r>
              <w:rPr>
                <w:b w:val="false"/>
                <w:bCs w:val="false"/>
              </w:rPr>
              <w:t xml:space="preserve">MET</w:t>
            </w:r>
          </w:p>
        </w:tc>
        <w:tc>
          <w:tcPr>
            <w:tcW w:type="dxa" w:w="2250"/>
            <w:tcMar>
              <w:top w:type="dxa" w:w="60"/>
              <w:left w:type="dxa" w:w="100"/>
              <w:bottom w:type="dxa" w:w="60"/>
              <w:right w:type="dxa" w:w="100"/>
            </w:tcMar>
          </w:tcPr>
          <w:p>
            <w:r>
              <w:rPr>
                <w:b w:val="false"/>
                <w:bCs w:val="false"/>
              </w:rPr>
              <w:t xml:space="preserve">GPU memory allocation explicitly planned and documented. MB values and OS reserve rationale recorded per configuration.</w:t>
            </w:r>
          </w:p>
        </w:tc>
      </w:tr>
      <w:tr>
        <w:tc>
          <w:tcPr>
            <w:tcW w:type="dxa" w:w="2250"/>
            <w:tcMar>
              <w:top w:type="dxa" w:w="60"/>
              <w:left w:type="dxa" w:w="100"/>
              <w:bottom w:type="dxa" w:w="60"/>
              <w:right w:type="dxa" w:w="100"/>
            </w:tcMar>
          </w:tcPr>
          <w:p>
            <w:r>
              <w:rPr>
                <w:b w:val="false"/>
                <w:bCs w:val="false"/>
              </w:rPr>
              <w:t xml:space="preserve">SC-5</w:t>
            </w:r>
          </w:p>
        </w:tc>
        <w:tc>
          <w:tcPr>
            <w:tcW w:type="dxa" w:w="2250"/>
            <w:tcMar>
              <w:top w:type="dxa" w:w="60"/>
              <w:left w:type="dxa" w:w="100"/>
              <w:bottom w:type="dxa" w:w="60"/>
              <w:right w:type="dxa" w:w="100"/>
            </w:tcMar>
          </w:tcPr>
          <w:p>
            <w:r>
              <w:rPr>
                <w:b w:val="false"/>
                <w:bCs w:val="false"/>
              </w:rPr>
              <w:t xml:space="preserve">Denial of Service Protection</w:t>
            </w:r>
          </w:p>
        </w:tc>
        <w:tc>
          <w:tcPr>
            <w:tcW w:type="dxa" w:w="2250"/>
            <w:tcMar>
              <w:top w:type="dxa" w:w="60"/>
              <w:left w:type="dxa" w:w="100"/>
              <w:bottom w:type="dxa" w:w="60"/>
              <w:right w:type="dxa" w:w="100"/>
            </w:tcMar>
          </w:tcPr>
          <w:p>
            <w:r>
              <w:rPr>
                <w:b w:val="false"/>
                <w:bCs w:val="false"/>
              </w:rPr>
              <w:t xml:space="preserve">IMPROVED</w:t>
            </w:r>
          </w:p>
        </w:tc>
        <w:tc>
          <w:tcPr>
            <w:tcW w:type="dxa" w:w="2250"/>
            <w:tcMar>
              <w:top w:type="dxa" w:w="60"/>
              <w:left w:type="dxa" w:w="100"/>
              <w:bottom w:type="dxa" w:w="60"/>
              <w:right w:type="dxa" w:w="100"/>
            </w:tcMar>
          </w:tcPr>
          <w:p>
            <w:r>
              <w:rPr>
                <w:b w:val="false"/>
                <w:bCs w:val="false"/>
              </w:rPr>
              <w:t xml:space="preserve">Increased GPU headroom reduces probability of model load failure causing agent denial-of-service. Swap &gt; 0 alert (ADR-033) detects OS starvation before it becomes a service failure.</w:t>
            </w:r>
          </w:p>
        </w:tc>
      </w:tr>
      <w:tr>
        <w:tc>
          <w:tcPr>
            <w:tcW w:type="dxa" w:w="2250"/>
            <w:tcMar>
              <w:top w:type="dxa" w:w="60"/>
              <w:left w:type="dxa" w:w="100"/>
              <w:bottom w:type="dxa" w:w="60"/>
              <w:right w:type="dxa" w:w="100"/>
            </w:tcMar>
          </w:tcPr>
          <w:p>
            <w:r>
              <w:rPr>
                <w:b w:val="false"/>
                <w:bCs w:val="false"/>
              </w:rPr>
              <w:t xml:space="preserve">SI-4</w:t>
            </w:r>
          </w:p>
        </w:tc>
        <w:tc>
          <w:tcPr>
            <w:tcW w:type="dxa" w:w="2250"/>
            <w:tcMar>
              <w:top w:type="dxa" w:w="60"/>
              <w:left w:type="dxa" w:w="100"/>
              <w:bottom w:type="dxa" w:w="60"/>
              <w:right w:type="dxa" w:w="100"/>
            </w:tcMar>
          </w:tcPr>
          <w:p>
            <w:r>
              <w:rPr>
                <w:b w:val="false"/>
                <w:bCs w:val="false"/>
              </w:rPr>
              <w:t xml:space="preserve">System Monitoring</w:t>
            </w:r>
          </w:p>
        </w:tc>
        <w:tc>
          <w:tcPr>
            <w:tcW w:type="dxa" w:w="2250"/>
            <w:tcMar>
              <w:top w:type="dxa" w:w="60"/>
              <w:left w:type="dxa" w:w="100"/>
              <w:bottom w:type="dxa" w:w="60"/>
              <w:right w:type="dxa" w:w="100"/>
            </w:tcMar>
          </w:tcPr>
          <w:p>
            <w:r>
              <w:rPr>
                <w:b w:val="false"/>
                <w:bCs w:val="false"/>
              </w:rPr>
              <w:t xml:space="preserve">MET (extended)</w:t>
            </w:r>
          </w:p>
        </w:tc>
        <w:tc>
          <w:tcPr>
            <w:tcW w:type="dxa" w:w="2250"/>
            <w:tcMar>
              <w:top w:type="dxa" w:w="60"/>
              <w:left w:type="dxa" w:w="100"/>
              <w:bottom w:type="dxa" w:w="60"/>
              <w:right w:type="dxa" w:w="100"/>
            </w:tcMar>
          </w:tcPr>
          <w:p>
            <w:r>
              <w:rPr>
                <w:b w:val="false"/>
                <w:bCs w:val="false"/>
              </w:rPr>
              <w:t xml:space="preserve">hw_collector.py monitors mem_used_gb and mem_swap_gb at 60-second intervals. Revised thresholds (Section 7) reflect actual OS headroom post-allocation.</w:t>
            </w:r>
          </w:p>
        </w:tc>
      </w:tr>
      <w:tr>
        <w:tc>
          <w:tcPr>
            <w:tcW w:type="dxa" w:w="2250"/>
            <w:tcMar>
              <w:top w:type="dxa" w:w="60"/>
              <w:left w:type="dxa" w:w="100"/>
              <w:bottom w:type="dxa" w:w="60"/>
              <w:right w:type="dxa" w:w="100"/>
            </w:tcMar>
          </w:tcPr>
          <w:p>
            <w:r>
              <w:rPr>
                <w:b w:val="false"/>
                <w:bCs w:val="false"/>
              </w:rPr>
              <w:t xml:space="preserve">SI-4(5)</w:t>
            </w:r>
          </w:p>
        </w:tc>
        <w:tc>
          <w:tcPr>
            <w:tcW w:type="dxa" w:w="2250"/>
            <w:tcMar>
              <w:top w:type="dxa" w:w="60"/>
              <w:left w:type="dxa" w:w="100"/>
              <w:bottom w:type="dxa" w:w="60"/>
              <w:right w:type="dxa" w:w="100"/>
            </w:tcMar>
          </w:tcPr>
          <w:p>
            <w:r>
              <w:rPr>
                <w:b w:val="false"/>
                <w:bCs w:val="false"/>
              </w:rPr>
              <w:t xml:space="preserve">System-Generated Alerts</w:t>
            </w:r>
          </w:p>
        </w:tc>
        <w:tc>
          <w:tcPr>
            <w:tcW w:type="dxa" w:w="2250"/>
            <w:tcMar>
              <w:top w:type="dxa" w:w="60"/>
              <w:left w:type="dxa" w:w="100"/>
              <w:bottom w:type="dxa" w:w="60"/>
              <w:right w:type="dxa" w:w="100"/>
            </w:tcMar>
          </w:tcPr>
          <w:p>
            <w:r>
              <w:rPr>
                <w:b w:val="false"/>
                <w:bCs w:val="false"/>
              </w:rPr>
              <w:t xml:space="preserve">MET</w:t>
            </w:r>
          </w:p>
        </w:tc>
        <w:tc>
          <w:tcPr>
            <w:tcW w:type="dxa" w:w="2250"/>
            <w:tcMar>
              <w:top w:type="dxa" w:w="60"/>
              <w:left w:type="dxa" w:w="100"/>
              <w:bottom w:type="dxa" w:w="60"/>
              <w:right w:type="dxa" w:w="100"/>
            </w:tcMar>
          </w:tcPr>
          <w:p>
            <w:r>
              <w:rPr>
                <w:b w:val="false"/>
                <w:bCs w:val="false"/>
              </w:rPr>
              <w:t xml:space="preserve">Swap &gt; 0 triggers critical Telegram alert. Memory pressure red triggers alert. Both conditions indicate OS starvation risk under the aggressive GPU allocation.</w:t>
            </w:r>
          </w:p>
        </w:tc>
      </w:tr>
      <w:tr>
        <w:tc>
          <w:tcPr>
            <w:tcW w:type="dxa" w:w="2250"/>
            <w:tcMar>
              <w:top w:type="dxa" w:w="60"/>
              <w:left w:type="dxa" w:w="100"/>
              <w:bottom w:type="dxa" w:w="60"/>
              <w:right w:type="dxa" w:w="100"/>
            </w:tcMar>
          </w:tcPr>
          <w:p>
            <w:r>
              <w:rPr>
                <w:b w:val="false"/>
                <w:bCs w:val="false"/>
              </w:rPr>
              <w:t xml:space="preserve">AU-2</w:t>
            </w:r>
          </w:p>
        </w:tc>
        <w:tc>
          <w:tcPr>
            <w:tcW w:type="dxa" w:w="2250"/>
            <w:tcMar>
              <w:top w:type="dxa" w:w="60"/>
              <w:left w:type="dxa" w:w="100"/>
              <w:bottom w:type="dxa" w:w="60"/>
              <w:right w:type="dxa" w:w="100"/>
            </w:tcMar>
          </w:tcPr>
          <w:p>
            <w:r>
              <w:rPr>
                <w:b w:val="false"/>
                <w:bCs w:val="false"/>
              </w:rPr>
              <w:t xml:space="preserve">Event Logging</w:t>
            </w:r>
          </w:p>
        </w:tc>
        <w:tc>
          <w:tcPr>
            <w:tcW w:type="dxa" w:w="2250"/>
            <w:tcMar>
              <w:top w:type="dxa" w:w="60"/>
              <w:left w:type="dxa" w:w="100"/>
              <w:bottom w:type="dxa" w:w="60"/>
              <w:right w:type="dxa" w:w="100"/>
            </w:tcMar>
          </w:tcPr>
          <w:p>
            <w:r>
              <w:rPr>
                <w:b w:val="false"/>
                <w:bCs w:val="false"/>
              </w:rPr>
              <w:t xml:space="preserve">MET</w:t>
            </w:r>
          </w:p>
        </w:tc>
        <w:tc>
          <w:tcPr>
            <w:tcW w:type="dxa" w:w="2250"/>
            <w:tcMar>
              <w:top w:type="dxa" w:w="60"/>
              <w:left w:type="dxa" w:w="100"/>
              <w:bottom w:type="dxa" w:w="60"/>
              <w:right w:type="dxa" w:w="100"/>
            </w:tcMar>
          </w:tcPr>
          <w:p>
            <w:r>
              <w:rPr>
                <w:b w:val="false"/>
                <w:bCs w:val="false"/>
              </w:rPr>
              <w:t xml:space="preserve">LaunchDaemon stdout log records the value applied on each boot. macOS Unified Log records the kernel parameter change independently.</w:t>
            </w:r>
          </w:p>
        </w:tc>
      </w:tr>
      <w:tr>
        <w:tc>
          <w:tcPr>
            <w:tcW w:type="dxa" w:w="2250"/>
            <w:tcMar>
              <w:top w:type="dxa" w:w="60"/>
              <w:left w:type="dxa" w:w="100"/>
              <w:bottom w:type="dxa" w:w="60"/>
              <w:right w:type="dxa" w:w="100"/>
            </w:tcMar>
          </w:tcPr>
          <w:p>
            <w:r>
              <w:rPr>
                <w:b w:val="false"/>
                <w:bCs w:val="false"/>
              </w:rPr>
              <w:t xml:space="preserve">AU-3</w:t>
            </w:r>
          </w:p>
        </w:tc>
        <w:tc>
          <w:tcPr>
            <w:tcW w:type="dxa" w:w="2250"/>
            <w:tcMar>
              <w:top w:type="dxa" w:w="60"/>
              <w:left w:type="dxa" w:w="100"/>
              <w:bottom w:type="dxa" w:w="60"/>
              <w:right w:type="dxa" w:w="100"/>
            </w:tcMar>
          </w:tcPr>
          <w:p>
            <w:r>
              <w:rPr>
                <w:b w:val="false"/>
                <w:bCs w:val="false"/>
              </w:rPr>
              <w:t xml:space="preserve">Content of Audit Records</w:t>
            </w:r>
          </w:p>
        </w:tc>
        <w:tc>
          <w:tcPr>
            <w:tcW w:type="dxa" w:w="2250"/>
            <w:tcMar>
              <w:top w:type="dxa" w:w="60"/>
              <w:left w:type="dxa" w:w="100"/>
              <w:bottom w:type="dxa" w:w="60"/>
              <w:right w:type="dxa" w:w="100"/>
            </w:tcMar>
          </w:tcPr>
          <w:p>
            <w:r>
              <w:rPr>
                <w:b w:val="false"/>
                <w:bCs w:val="false"/>
              </w:rPr>
              <w:t xml:space="preserve">MET</w:t>
            </w:r>
          </w:p>
        </w:tc>
        <w:tc>
          <w:tcPr>
            <w:tcW w:type="dxa" w:w="2250"/>
            <w:tcMar>
              <w:top w:type="dxa" w:w="60"/>
              <w:left w:type="dxa" w:w="100"/>
              <w:bottom w:type="dxa" w:w="60"/>
              <w:right w:type="dxa" w:w="100"/>
            </w:tcMar>
          </w:tcPr>
          <w:p>
            <w:r>
              <w:rPr>
                <w:b w:val="false"/>
                <w:bCs w:val="false"/>
              </w:rPr>
              <w:t xml:space="preserve">Log entries include timestamp, process, parameter name, and value applied. Sufficient for forensic review if a memory-related incident occurs.</w:t>
            </w:r>
          </w:p>
        </w:tc>
      </w:tr>
    </w:tbl>
    <w:p>
      <w:pPr>
        <w:spacing w:after="160"/>
      </w:pPr>
    </w:p>
    <w:p>
      <w:pPr>
        <w:pStyle w:val="Heading1"/>
        <w:spacing w:after="140" w:before="280"/>
      </w:pPr>
      <w:r>
        <w:t xml:space="preserve">11.  Setup Day Sequence</w:t>
      </w:r>
    </w:p>
    <w:p>
      <w:pPr>
        <w:spacing w:after="120"/>
      </w:pPr>
      <w:r>
        <w:rPr>
          <w:b w:val="false"/>
          <w:bCs w:val="false"/>
        </w:rPr>
        <w:t xml:space="preserve">All steps run under the admin account on setup day. Step 1 is a decision gate — it determines which MB value is used in all subsequent steps.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D9E2F3" w:val="clear"/>
            <w:tcMar>
              <w:top w:type="dxa" w:w="60"/>
              <w:left w:type="dxa" w:w="100"/>
              <w:bottom w:type="dxa" w:w="60"/>
              <w:right w:type="dxa" w:w="100"/>
            </w:tcMar>
          </w:tcPr>
          <w:p>
            <w:r>
              <w:rPr>
                <w:b/>
                <w:bCs/>
              </w:rPr>
              <w:t xml:space="preserve">Step</w:t>
            </w:r>
          </w:p>
        </w:tc>
        <w:tc>
          <w:tcPr>
            <w:tcW w:type="dxa" w:w="2250"/>
            <w:shd w:fill="D9E2F3" w:val="clear"/>
            <w:tcMar>
              <w:top w:type="dxa" w:w="60"/>
              <w:left w:type="dxa" w:w="100"/>
              <w:bottom w:type="dxa" w:w="60"/>
              <w:right w:type="dxa" w:w="100"/>
            </w:tcMar>
          </w:tcPr>
          <w:p>
            <w:r>
              <w:rPr>
                <w:b/>
                <w:bCs/>
              </w:rPr>
              <w:t xml:space="preserve">Action</w:t>
            </w:r>
          </w:p>
        </w:tc>
        <w:tc>
          <w:tcPr>
            <w:tcW w:type="dxa" w:w="2250"/>
            <w:shd w:fill="D9E2F3" w:val="clear"/>
            <w:tcMar>
              <w:top w:type="dxa" w:w="60"/>
              <w:left w:type="dxa" w:w="100"/>
              <w:bottom w:type="dxa" w:w="60"/>
              <w:right w:type="dxa" w:w="100"/>
            </w:tcMar>
          </w:tcPr>
          <w:p>
            <w:r>
              <w:rPr>
                <w:b/>
                <w:bCs/>
              </w:rPr>
              <w:t xml:space="preserve">Account</w:t>
            </w:r>
          </w:p>
        </w:tc>
        <w:tc>
          <w:tcPr>
            <w:tcW w:type="dxa" w:w="2250"/>
            <w:shd w:fill="D9E2F3" w:val="clear"/>
            <w:tcMar>
              <w:top w:type="dxa" w:w="60"/>
              <w:left w:type="dxa" w:w="100"/>
              <w:bottom w:type="dxa" w:w="60"/>
              <w:right w:type="dxa" w:w="100"/>
            </w:tcMar>
          </w:tcPr>
          <w:p>
            <w:r>
              <w:rPr>
                <w:b/>
                <w:bCs/>
              </w:rPr>
              <w:t xml:space="preserve">Dependency</w:t>
            </w:r>
          </w:p>
        </w:tc>
      </w:tr>
      <w:tr>
        <w:tc>
          <w:tcPr>
            <w:tcW w:type="dxa" w:w="2250"/>
            <w:tcMar>
              <w:top w:type="dxa" w:w="60"/>
              <w:left w:type="dxa" w:w="100"/>
              <w:bottom w:type="dxa" w:w="60"/>
              <w:right w:type="dxa" w:w="100"/>
            </w:tcMar>
          </w:tcPr>
          <w:p>
            <w:r>
              <w:rPr>
                <w:b w:val="false"/>
                <w:bCs w:val="false"/>
              </w:rPr>
              <w:t xml:space="preserve">1</w:t>
            </w:r>
          </w:p>
        </w:tc>
        <w:tc>
          <w:tcPr>
            <w:tcW w:type="dxa" w:w="2250"/>
            <w:tcMar>
              <w:top w:type="dxa" w:w="60"/>
              <w:left w:type="dxa" w:w="100"/>
              <w:bottom w:type="dxa" w:w="60"/>
              <w:right w:type="dxa" w:w="100"/>
            </w:tcMar>
          </w:tcPr>
          <w:p>
            <w:r>
              <w:rPr>
                <w:b w:val="false"/>
                <w:bCs w:val="false"/>
              </w:rPr>
              <w:t xml:space="preserve">Confirm hardware configuration (32 GB or 64 GB). Select MB value: 28672 or 58982.</w:t>
            </w:r>
          </w:p>
        </w:tc>
        <w:tc>
          <w:tcPr>
            <w:tcW w:type="dxa" w:w="2250"/>
            <w:tcMar>
              <w:top w:type="dxa" w:w="60"/>
              <w:left w:type="dxa" w:w="100"/>
              <w:bottom w:type="dxa" w:w="60"/>
              <w:right w:type="dxa" w:w="100"/>
            </w:tcMar>
          </w:tcPr>
          <w:p>
            <w:r>
              <w:rPr>
                <w:b w:val="false"/>
                <w:bCs w:val="false"/>
              </w:rPr>
              <w:t xml:space="preserve">operator</w:t>
            </w:r>
          </w:p>
        </w:tc>
        <w:tc>
          <w:tcPr>
            <w:tcW w:type="dxa" w:w="2250"/>
            <w:tcMar>
              <w:top w:type="dxa" w:w="60"/>
              <w:left w:type="dxa" w:w="100"/>
              <w:bottom w:type="dxa" w:w="60"/>
              <w:right w:type="dxa" w:w="100"/>
            </w:tcMar>
          </w:tcPr>
          <w:p>
            <w:r>
              <w:rPr>
                <w:b w:val="false"/>
                <w:bCs w:val="false"/>
              </w:rPr>
              <w:t xml:space="preserve">Hardware in hand</w:t>
            </w:r>
          </w:p>
        </w:tc>
      </w:tr>
      <w:tr>
        <w:tc>
          <w:tcPr>
            <w:tcW w:type="dxa" w:w="2250"/>
            <w:tcMar>
              <w:top w:type="dxa" w:w="60"/>
              <w:left w:type="dxa" w:w="100"/>
              <w:bottom w:type="dxa" w:w="60"/>
              <w:right w:type="dxa" w:w="100"/>
            </w:tcMar>
          </w:tcPr>
          <w:p>
            <w:r>
              <w:rPr>
                <w:b w:val="false"/>
                <w:bCs w:val="false"/>
              </w:rPr>
              <w:t xml:space="preserve">2</w:t>
            </w:r>
          </w:p>
        </w:tc>
        <w:tc>
          <w:tcPr>
            <w:tcW w:type="dxa" w:w="2250"/>
            <w:tcMar>
              <w:top w:type="dxa" w:w="60"/>
              <w:left w:type="dxa" w:w="100"/>
              <w:bottom w:type="dxa" w:w="60"/>
              <w:right w:type="dxa" w:w="100"/>
            </w:tcMar>
          </w:tcPr>
          <w:p>
            <w:r>
              <w:rPr>
                <w:b w:val="false"/>
                <w:bCs w:val="false"/>
              </w:rPr>
              <w:t xml:space="preserve">Create /var/log/openclaw/ directory with root:wheel ownership and 755 permissions.</w:t>
            </w:r>
          </w:p>
        </w:tc>
        <w:tc>
          <w:tcPr>
            <w:tcW w:type="dxa" w:w="2250"/>
            <w:tcMar>
              <w:top w:type="dxa" w:w="60"/>
              <w:left w:type="dxa" w:w="100"/>
              <w:bottom w:type="dxa" w:w="60"/>
              <w:right w:type="dxa" w:w="100"/>
            </w:tcMar>
          </w:tcPr>
          <w:p>
            <w:r>
              <w:rPr>
                <w:b w:val="false"/>
                <w:bCs w:val="false"/>
              </w:rPr>
              <w:t xml:space="preserve">admin</w:t>
            </w:r>
          </w:p>
        </w:tc>
        <w:tc>
          <w:tcPr>
            <w:tcW w:type="dxa" w:w="2250"/>
            <w:tcMar>
              <w:top w:type="dxa" w:w="60"/>
              <w:left w:type="dxa" w:w="100"/>
              <w:bottom w:type="dxa" w:w="60"/>
              <w:right w:type="dxa" w:w="100"/>
            </w:tcMar>
          </w:tcPr>
          <w:p>
            <w:r>
              <w:rPr>
                <w:b w:val="false"/>
                <w:bCs w:val="false"/>
              </w:rPr>
              <w:t xml:space="preserve">Step 1 complete</w:t>
            </w:r>
          </w:p>
        </w:tc>
      </w:tr>
      <w:tr>
        <w:tc>
          <w:tcPr>
            <w:tcW w:type="dxa" w:w="2250"/>
            <w:tcMar>
              <w:top w:type="dxa" w:w="60"/>
              <w:left w:type="dxa" w:w="100"/>
              <w:bottom w:type="dxa" w:w="60"/>
              <w:right w:type="dxa" w:w="100"/>
            </w:tcMar>
          </w:tcPr>
          <w:p>
            <w:r>
              <w:rPr>
                <w:b w:val="false"/>
                <w:bCs w:val="false"/>
              </w:rPr>
              <w:t xml:space="preserve">3</w:t>
            </w:r>
          </w:p>
        </w:tc>
        <w:tc>
          <w:tcPr>
            <w:tcW w:type="dxa" w:w="2250"/>
            <w:tcMar>
              <w:top w:type="dxa" w:w="60"/>
              <w:left w:type="dxa" w:w="100"/>
              <w:bottom w:type="dxa" w:w="60"/>
              <w:right w:type="dxa" w:w="100"/>
            </w:tcMar>
          </w:tcPr>
          <w:p>
            <w:r>
              <w:rPr>
                <w:b w:val="false"/>
                <w:bCs w:val="false"/>
              </w:rPr>
              <w:t xml:space="preserve">Write LaunchDaemon plist to /Library/LaunchDaemons/com.openclaw.iogpu.wired_limit.plist using the MB value selected in Step 1.</w:t>
            </w:r>
          </w:p>
        </w:tc>
        <w:tc>
          <w:tcPr>
            <w:tcW w:type="dxa" w:w="2250"/>
            <w:tcMar>
              <w:top w:type="dxa" w:w="60"/>
              <w:left w:type="dxa" w:w="100"/>
              <w:bottom w:type="dxa" w:w="60"/>
              <w:right w:type="dxa" w:w="100"/>
            </w:tcMar>
          </w:tcPr>
          <w:p>
            <w:r>
              <w:rPr>
                <w:b w:val="false"/>
                <w:bCs w:val="false"/>
              </w:rPr>
              <w:t xml:space="preserve">admin</w:t>
            </w:r>
          </w:p>
        </w:tc>
        <w:tc>
          <w:tcPr>
            <w:tcW w:type="dxa" w:w="2250"/>
            <w:tcMar>
              <w:top w:type="dxa" w:w="60"/>
              <w:left w:type="dxa" w:w="100"/>
              <w:bottom w:type="dxa" w:w="60"/>
              <w:right w:type="dxa" w:w="100"/>
            </w:tcMar>
          </w:tcPr>
          <w:p>
            <w:r>
              <w:rPr>
                <w:b w:val="false"/>
                <w:bCs w:val="false"/>
              </w:rPr>
              <w:t xml:space="preserve">Step 2 complete</w:t>
            </w:r>
          </w:p>
        </w:tc>
      </w:tr>
      <w:tr>
        <w:tc>
          <w:tcPr>
            <w:tcW w:type="dxa" w:w="2250"/>
            <w:tcMar>
              <w:top w:type="dxa" w:w="60"/>
              <w:left w:type="dxa" w:w="100"/>
              <w:bottom w:type="dxa" w:w="60"/>
              <w:right w:type="dxa" w:w="100"/>
            </w:tcMar>
          </w:tcPr>
          <w:p>
            <w:r>
              <w:rPr>
                <w:b w:val="false"/>
                <w:bCs w:val="false"/>
              </w:rPr>
              <w:t xml:space="preserve">4</w:t>
            </w:r>
          </w:p>
        </w:tc>
        <w:tc>
          <w:tcPr>
            <w:tcW w:type="dxa" w:w="2250"/>
            <w:tcMar>
              <w:top w:type="dxa" w:w="60"/>
              <w:left w:type="dxa" w:w="100"/>
              <w:bottom w:type="dxa" w:w="60"/>
              <w:right w:type="dxa" w:w="100"/>
            </w:tcMar>
          </w:tcPr>
          <w:p>
            <w:r>
              <w:rPr>
                <w:b w:val="false"/>
                <w:bCs w:val="false"/>
              </w:rPr>
              <w:t xml:space="preserve">Set ownership (root:wheel) and permissions (0644) on the plist file.</w:t>
            </w:r>
          </w:p>
        </w:tc>
        <w:tc>
          <w:tcPr>
            <w:tcW w:type="dxa" w:w="2250"/>
            <w:tcMar>
              <w:top w:type="dxa" w:w="60"/>
              <w:left w:type="dxa" w:w="100"/>
              <w:bottom w:type="dxa" w:w="60"/>
              <w:right w:type="dxa" w:w="100"/>
            </w:tcMar>
          </w:tcPr>
          <w:p>
            <w:r>
              <w:rPr>
                <w:b w:val="false"/>
                <w:bCs w:val="false"/>
              </w:rPr>
              <w:t xml:space="preserve">admin</w:t>
            </w:r>
          </w:p>
        </w:tc>
        <w:tc>
          <w:tcPr>
            <w:tcW w:type="dxa" w:w="2250"/>
            <w:tcMar>
              <w:top w:type="dxa" w:w="60"/>
              <w:left w:type="dxa" w:w="100"/>
              <w:bottom w:type="dxa" w:w="60"/>
              <w:right w:type="dxa" w:w="100"/>
            </w:tcMar>
          </w:tcPr>
          <w:p>
            <w:r>
              <w:rPr>
                <w:b w:val="false"/>
                <w:bCs w:val="false"/>
              </w:rPr>
              <w:t xml:space="preserve">Step 3 complete</w:t>
            </w:r>
          </w:p>
        </w:tc>
      </w:tr>
      <w:tr>
        <w:tc>
          <w:tcPr>
            <w:tcW w:type="dxa" w:w="2250"/>
            <w:tcMar>
              <w:top w:type="dxa" w:w="60"/>
              <w:left w:type="dxa" w:w="100"/>
              <w:bottom w:type="dxa" w:w="60"/>
              <w:right w:type="dxa" w:w="100"/>
            </w:tcMar>
          </w:tcPr>
          <w:p>
            <w:r>
              <w:rPr>
                <w:b w:val="false"/>
                <w:bCs w:val="false"/>
              </w:rPr>
              <w:t xml:space="preserve">5</w:t>
            </w:r>
          </w:p>
        </w:tc>
        <w:tc>
          <w:tcPr>
            <w:tcW w:type="dxa" w:w="2250"/>
            <w:tcMar>
              <w:top w:type="dxa" w:w="60"/>
              <w:left w:type="dxa" w:w="100"/>
              <w:bottom w:type="dxa" w:w="60"/>
              <w:right w:type="dxa" w:w="100"/>
            </w:tcMar>
          </w:tcPr>
          <w:p>
            <w:r>
              <w:rPr>
                <w:b w:val="false"/>
                <w:bCs w:val="false"/>
              </w:rPr>
              <w:t xml:space="preserve">Load the daemon: sudo launchctl load [plist path]. Verify with: sysctl iogpu.wired_limit_mb</w:t>
            </w:r>
          </w:p>
        </w:tc>
        <w:tc>
          <w:tcPr>
            <w:tcW w:type="dxa" w:w="2250"/>
            <w:tcMar>
              <w:top w:type="dxa" w:w="60"/>
              <w:left w:type="dxa" w:w="100"/>
              <w:bottom w:type="dxa" w:w="60"/>
              <w:right w:type="dxa" w:w="100"/>
            </w:tcMar>
          </w:tcPr>
          <w:p>
            <w:r>
              <w:rPr>
                <w:b w:val="false"/>
                <w:bCs w:val="false"/>
              </w:rPr>
              <w:t xml:space="preserve">admin</w:t>
            </w:r>
          </w:p>
        </w:tc>
        <w:tc>
          <w:tcPr>
            <w:tcW w:type="dxa" w:w="2250"/>
            <w:tcMar>
              <w:top w:type="dxa" w:w="60"/>
              <w:left w:type="dxa" w:w="100"/>
              <w:bottom w:type="dxa" w:w="60"/>
              <w:right w:type="dxa" w:w="100"/>
            </w:tcMar>
          </w:tcPr>
          <w:p>
            <w:r>
              <w:rPr>
                <w:b w:val="false"/>
                <w:bCs w:val="false"/>
              </w:rPr>
              <w:t xml:space="preserve">Step 4 complete</w:t>
            </w:r>
          </w:p>
        </w:tc>
      </w:tr>
      <w:tr>
        <w:tc>
          <w:tcPr>
            <w:tcW w:type="dxa" w:w="2250"/>
            <w:tcMar>
              <w:top w:type="dxa" w:w="60"/>
              <w:left w:type="dxa" w:w="100"/>
              <w:bottom w:type="dxa" w:w="60"/>
              <w:right w:type="dxa" w:w="100"/>
            </w:tcMar>
          </w:tcPr>
          <w:p>
            <w:r>
              <w:rPr>
                <w:b w:val="false"/>
                <w:bCs w:val="false"/>
              </w:rPr>
              <w:t xml:space="preserve">6</w:t>
            </w:r>
          </w:p>
        </w:tc>
        <w:tc>
          <w:tcPr>
            <w:tcW w:type="dxa" w:w="2250"/>
            <w:tcMar>
              <w:top w:type="dxa" w:w="60"/>
              <w:left w:type="dxa" w:w="100"/>
              <w:bottom w:type="dxa" w:w="60"/>
              <w:right w:type="dxa" w:w="100"/>
            </w:tcMar>
          </w:tcPr>
          <w:p>
            <w:r>
              <w:rPr>
                <w:b w:val="false"/>
                <w:bCs w:val="false"/>
              </w:rPr>
              <w:t xml:space="preserve">Test reboot. Verify sysctl iogpu.wired_limit_mb returns the correct value after restart. Check /var/log/openclaw/iogpu_wired_limit.log for boot entry.</w:t>
            </w:r>
          </w:p>
        </w:tc>
        <w:tc>
          <w:tcPr>
            <w:tcW w:type="dxa" w:w="2250"/>
            <w:tcMar>
              <w:top w:type="dxa" w:w="60"/>
              <w:left w:type="dxa" w:w="100"/>
              <w:bottom w:type="dxa" w:w="60"/>
              <w:right w:type="dxa" w:w="100"/>
            </w:tcMar>
          </w:tcPr>
          <w:p>
            <w:r>
              <w:rPr>
                <w:b w:val="false"/>
                <w:bCs w:val="false"/>
              </w:rPr>
              <w:t xml:space="preserve">admin</w:t>
            </w:r>
          </w:p>
        </w:tc>
        <w:tc>
          <w:tcPr>
            <w:tcW w:type="dxa" w:w="2250"/>
            <w:tcMar>
              <w:top w:type="dxa" w:w="60"/>
              <w:left w:type="dxa" w:w="100"/>
              <w:bottom w:type="dxa" w:w="60"/>
              <w:right w:type="dxa" w:w="100"/>
            </w:tcMar>
          </w:tcPr>
          <w:p>
            <w:r>
              <w:rPr>
                <w:b w:val="false"/>
                <w:bCs w:val="false"/>
              </w:rPr>
              <w:t xml:space="preserve">Step 5 complete</w:t>
            </w:r>
          </w:p>
        </w:tc>
      </w:tr>
      <w:tr>
        <w:tc>
          <w:tcPr>
            <w:tcW w:type="dxa" w:w="2250"/>
            <w:tcMar>
              <w:top w:type="dxa" w:w="60"/>
              <w:left w:type="dxa" w:w="100"/>
              <w:bottom w:type="dxa" w:w="60"/>
              <w:right w:type="dxa" w:w="100"/>
            </w:tcMar>
          </w:tcPr>
          <w:p>
            <w:r>
              <w:rPr>
                <w:b w:val="false"/>
                <w:bCs w:val="false"/>
              </w:rPr>
              <w:t xml:space="preserve">7</w:t>
            </w:r>
          </w:p>
        </w:tc>
        <w:tc>
          <w:tcPr>
            <w:tcW w:type="dxa" w:w="2250"/>
            <w:tcMar>
              <w:top w:type="dxa" w:w="60"/>
              <w:left w:type="dxa" w:w="100"/>
              <w:bottom w:type="dxa" w:w="60"/>
              <w:right w:type="dxa" w:w="100"/>
            </w:tcMar>
          </w:tcPr>
          <w:p>
            <w:r>
              <w:rPr>
                <w:b w:val="false"/>
                <w:bCs w:val="false"/>
              </w:rPr>
              <w:t xml:space="preserve">Update hardware_metrics.sql alert view with revised mem_used_gb thresholds from ADR-036 Section 7.</w:t>
            </w:r>
          </w:p>
        </w:tc>
        <w:tc>
          <w:tcPr>
            <w:tcW w:type="dxa" w:w="2250"/>
            <w:tcMar>
              <w:top w:type="dxa" w:w="60"/>
              <w:left w:type="dxa" w:w="100"/>
              <w:bottom w:type="dxa" w:w="60"/>
              <w:right w:type="dxa" w:w="100"/>
            </w:tcMar>
          </w:tcPr>
          <w:p>
            <w:r>
              <w:rPr>
                <w:b w:val="false"/>
                <w:bCs w:val="false"/>
              </w:rPr>
              <w:t xml:space="preserve">dev</w:t>
            </w:r>
          </w:p>
        </w:tc>
        <w:tc>
          <w:tcPr>
            <w:tcW w:type="dxa" w:w="2250"/>
            <w:tcMar>
              <w:top w:type="dxa" w:w="60"/>
              <w:left w:type="dxa" w:w="100"/>
              <w:bottom w:type="dxa" w:w="60"/>
              <w:right w:type="dxa" w:w="100"/>
            </w:tcMar>
          </w:tcPr>
          <w:p>
            <w:r>
              <w:rPr>
                <w:b w:val="false"/>
                <w:bCs w:val="false"/>
              </w:rPr>
              <w:t xml:space="preserve">Step 6 complete, PostgreSQL running</w:t>
            </w:r>
          </w:p>
        </w:tc>
      </w:tr>
      <w:tr>
        <w:tc>
          <w:tcPr>
            <w:tcW w:type="dxa" w:w="2250"/>
            <w:tcMar>
              <w:top w:type="dxa" w:w="60"/>
              <w:left w:type="dxa" w:w="100"/>
              <w:bottom w:type="dxa" w:w="60"/>
              <w:right w:type="dxa" w:w="100"/>
            </w:tcMar>
          </w:tcPr>
          <w:p>
            <w:r>
              <w:rPr>
                <w:b w:val="false"/>
                <w:bCs w:val="false"/>
              </w:rPr>
              <w:t xml:space="preserve">8</w:t>
            </w:r>
          </w:p>
        </w:tc>
        <w:tc>
          <w:tcPr>
            <w:tcW w:type="dxa" w:w="2250"/>
            <w:tcMar>
              <w:top w:type="dxa" w:w="60"/>
              <w:left w:type="dxa" w:w="100"/>
              <w:bottom w:type="dxa" w:w="60"/>
              <w:right w:type="dxa" w:w="100"/>
            </w:tcMar>
          </w:tcPr>
          <w:p>
            <w:r>
              <w:rPr>
                <w:b w:val="false"/>
                <w:bCs w:val="false"/>
              </w:rPr>
              <w:t xml:space="preserve">Load first Ollama model (7B Tier 1). Run ollama ps to confirm GPU memory allocation reflects the new ceiling. Record observed value in ADR-031 change log.</w:t>
            </w:r>
          </w:p>
        </w:tc>
        <w:tc>
          <w:tcPr>
            <w:tcW w:type="dxa" w:w="2250"/>
            <w:tcMar>
              <w:top w:type="dxa" w:w="60"/>
              <w:left w:type="dxa" w:w="100"/>
              <w:bottom w:type="dxa" w:w="60"/>
              <w:right w:type="dxa" w:w="100"/>
            </w:tcMar>
          </w:tcPr>
          <w:p>
            <w:r>
              <w:rPr>
                <w:b w:val="false"/>
                <w:bCs w:val="false"/>
              </w:rPr>
              <w:t xml:space="preserve">openclaw</w:t>
            </w:r>
          </w:p>
        </w:tc>
        <w:tc>
          <w:tcPr>
            <w:tcW w:type="dxa" w:w="2250"/>
            <w:tcMar>
              <w:top w:type="dxa" w:w="60"/>
              <w:left w:type="dxa" w:w="100"/>
              <w:bottom w:type="dxa" w:w="60"/>
              <w:right w:type="dxa" w:w="100"/>
            </w:tcMar>
          </w:tcPr>
          <w:p>
            <w:r>
              <w:rPr>
                <w:b w:val="false"/>
                <w:bCs w:val="false"/>
              </w:rPr>
              <w:t xml:space="preserve">Step 7 complete, Ollama running</w:t>
            </w:r>
          </w:p>
        </w:tc>
      </w:tr>
    </w:tbl>
    <w:p>
      <w:pPr>
        <w:spacing w:after="160"/>
      </w:pPr>
    </w:p>
    <w:p>
      <w:pPr>
        <w:pStyle w:val="Heading1"/>
        <w:spacing w:after="140" w:before="280"/>
      </w:pPr>
      <w:r>
        <w:t xml:space="preserve">12.  ADR Cross-Reference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Mar>
              <w:top w:type="dxa" w:w="60"/>
              <w:left w:type="dxa" w:w="100"/>
              <w:bottom w:type="dxa" w:w="60"/>
              <w:right w:type="dxa" w:w="100"/>
            </w:tcMar>
          </w:tcPr>
          <w:p>
            <w:r>
              <w:rPr>
                <w:b/>
                <w:bCs/>
              </w:rPr>
              <w:t xml:space="preserve">ADR-002</w:t>
            </w:r>
          </w:p>
        </w:tc>
        <w:tc>
          <w:tcPr>
            <w:tcW w:type="dxa" w:w="4500"/>
            <w:shd w:fill="D9E2F3" w:val="clear"/>
            <w:tcMar>
              <w:top w:type="dxa" w:w="60"/>
              <w:left w:type="dxa" w:w="100"/>
              <w:bottom w:type="dxa" w:w="60"/>
              <w:right w:type="dxa" w:w="100"/>
            </w:tcMar>
          </w:tcPr>
          <w:p>
            <w:r>
              <w:rPr>
                <w:b/>
                <w:bCs/>
              </w:rPr>
              <w:t xml:space="preserve">Hardware Selection. GPU MB values derived from confirmed 32 GB or 64 GB unified memory configuration.</w:t>
            </w:r>
          </w:p>
        </w:tc>
      </w:tr>
      <w:tr>
        <w:tc>
          <w:tcPr>
            <w:tcW w:type="dxa" w:w="4500"/>
            <w:tcMar>
              <w:top w:type="dxa" w:w="60"/>
              <w:left w:type="dxa" w:w="100"/>
              <w:bottom w:type="dxa" w:w="60"/>
              <w:right w:type="dxa" w:w="100"/>
            </w:tcMar>
          </w:tcPr>
          <w:p>
            <w:r>
              <w:rPr>
                <w:b w:val="false"/>
                <w:bCs w:val="false"/>
              </w:rPr>
              <w:t xml:space="preserve">ADR-020</w:t>
            </w:r>
          </w:p>
        </w:tc>
        <w:tc>
          <w:tcPr>
            <w:tcW w:type="dxa" w:w="4500"/>
            <w:tcMar>
              <w:top w:type="dxa" w:w="60"/>
              <w:left w:type="dxa" w:w="100"/>
              <w:bottom w:type="dxa" w:w="60"/>
              <w:right w:type="dxa" w:w="100"/>
            </w:tcMar>
          </w:tcPr>
          <w:p>
            <w:r>
              <w:rPr>
                <w:b w:val="false"/>
                <w:bCs w:val="false"/>
              </w:rPr>
              <w:t xml:space="preserve">macOS Account Structure. LaunchDaemon is written and loaded under admin account. openclaw account has no write access to /Library/LaunchDaemons/.</w:t>
            </w:r>
          </w:p>
        </w:tc>
      </w:tr>
      <w:tr>
        <w:tc>
          <w:tcPr>
            <w:tcW w:type="dxa" w:w="4500"/>
            <w:tcMar>
              <w:top w:type="dxa" w:w="60"/>
              <w:left w:type="dxa" w:w="100"/>
              <w:bottom w:type="dxa" w:w="60"/>
              <w:right w:type="dxa" w:w="100"/>
            </w:tcMar>
          </w:tcPr>
          <w:p>
            <w:r>
              <w:rPr>
                <w:b w:val="false"/>
                <w:bCs w:val="false"/>
              </w:rPr>
              <w:t xml:space="preserve">ADR-021</w:t>
            </w:r>
          </w:p>
        </w:tc>
        <w:tc>
          <w:tcPr>
            <w:tcW w:type="dxa" w:w="4500"/>
            <w:tcMar>
              <w:top w:type="dxa" w:w="60"/>
              <w:left w:type="dxa" w:w="100"/>
              <w:bottom w:type="dxa" w:w="60"/>
              <w:right w:type="dxa" w:w="100"/>
            </w:tcMar>
          </w:tcPr>
          <w:p>
            <w:r>
              <w:rPr>
                <w:b w:val="false"/>
                <w:bCs w:val="false"/>
              </w:rPr>
              <w:t xml:space="preserve">LayerModel Authority. GPU allocation directly enables Tier 2 model loads (32B) without CPU fallback. This ADR is a prerequisite for reliable Tier 2 inference.</w:t>
            </w:r>
          </w:p>
        </w:tc>
      </w:tr>
      <w:tr>
        <w:tc>
          <w:tcPr>
            <w:tcW w:type="dxa" w:w="4500"/>
            <w:tcMar>
              <w:top w:type="dxa" w:w="60"/>
              <w:left w:type="dxa" w:w="100"/>
              <w:bottom w:type="dxa" w:w="60"/>
              <w:right w:type="dxa" w:w="100"/>
            </w:tcMar>
          </w:tcPr>
          <w:p>
            <w:r>
              <w:rPr>
                <w:b w:val="false"/>
                <w:bCs w:val="false"/>
              </w:rPr>
              <w:t xml:space="preserve">ADR-023</w:t>
            </w:r>
          </w:p>
        </w:tc>
        <w:tc>
          <w:tcPr>
            <w:tcW w:type="dxa" w:w="4500"/>
            <w:tcMar>
              <w:top w:type="dxa" w:w="60"/>
              <w:left w:type="dxa" w:w="100"/>
              <w:bottom w:type="dxa" w:w="60"/>
              <w:right w:type="dxa" w:w="100"/>
            </w:tcMar>
          </w:tcPr>
          <w:p>
            <w:r>
              <w:rPr>
                <w:b w:val="false"/>
                <w:bCs w:val="false"/>
              </w:rPr>
              <w:t xml:space="preserve">Encryption Posture. SIP remains enabled — no change to encryption posture. FileVault continues to protect all data at rest.</w:t>
            </w:r>
          </w:p>
        </w:tc>
      </w:tr>
      <w:tr>
        <w:tc>
          <w:tcPr>
            <w:tcW w:type="dxa" w:w="4500"/>
            <w:tcMar>
              <w:top w:type="dxa" w:w="60"/>
              <w:left w:type="dxa" w:w="100"/>
              <w:bottom w:type="dxa" w:w="60"/>
              <w:right w:type="dxa" w:w="100"/>
            </w:tcMar>
          </w:tcPr>
          <w:p>
            <w:r>
              <w:rPr>
                <w:b w:val="false"/>
                <w:bCs w:val="false"/>
              </w:rPr>
              <w:t xml:space="preserve">ADR-027</w:t>
            </w:r>
          </w:p>
        </w:tc>
        <w:tc>
          <w:tcPr>
            <w:tcW w:type="dxa" w:w="4500"/>
            <w:tcMar>
              <w:top w:type="dxa" w:w="60"/>
              <w:left w:type="dxa" w:w="100"/>
              <w:bottom w:type="dxa" w:w="60"/>
              <w:right w:type="dxa" w:w="100"/>
            </w:tcMar>
          </w:tcPr>
          <w:p>
            <w:r>
              <w:rPr>
                <w:b w:val="false"/>
                <w:bCs w:val="false"/>
              </w:rPr>
              <w:t xml:space="preserve">Middleware Interceptor. No change. Interceptor token budget and circuit breaker are unaffected by GPU allocation.</w:t>
            </w:r>
          </w:p>
        </w:tc>
      </w:tr>
      <w:tr>
        <w:tc>
          <w:tcPr>
            <w:tcW w:type="dxa" w:w="4500"/>
            <w:tcMar>
              <w:top w:type="dxa" w:w="60"/>
              <w:left w:type="dxa" w:w="100"/>
              <w:bottom w:type="dxa" w:w="60"/>
              <w:right w:type="dxa" w:w="100"/>
            </w:tcMar>
          </w:tcPr>
          <w:p>
            <w:r>
              <w:rPr>
                <w:b w:val="false"/>
                <w:bCs w:val="false"/>
              </w:rPr>
              <w:t xml:space="preserve">ADR-031</w:t>
            </w:r>
          </w:p>
        </w:tc>
        <w:tc>
          <w:tcPr>
            <w:tcW w:type="dxa" w:w="4500"/>
            <w:tcMar>
              <w:top w:type="dxa" w:w="60"/>
              <w:left w:type="dxa" w:w="100"/>
              <w:bottom w:type="dxa" w:w="60"/>
              <w:right w:type="dxa" w:w="100"/>
            </w:tcMar>
          </w:tcPr>
          <w:p>
            <w:r>
              <w:rPr>
                <w:b w:val="false"/>
                <w:bCs w:val="false"/>
              </w:rPr>
              <w:t xml:space="preserve">Change Management. LaunchDaemon installation triggers an ADR-031 change log entry on setup day. Any future modification to the MB value requires a new entry.</w:t>
            </w:r>
          </w:p>
        </w:tc>
      </w:tr>
      <w:tr>
        <w:tc>
          <w:tcPr>
            <w:tcW w:type="dxa" w:w="4500"/>
            <w:tcMar>
              <w:top w:type="dxa" w:w="60"/>
              <w:left w:type="dxa" w:w="100"/>
              <w:bottom w:type="dxa" w:w="60"/>
              <w:right w:type="dxa" w:w="100"/>
            </w:tcMar>
          </w:tcPr>
          <w:p>
            <w:r>
              <w:rPr>
                <w:b w:val="false"/>
                <w:bCs w:val="false"/>
              </w:rPr>
              <w:t xml:space="preserve">ADR-032</w:t>
            </w:r>
          </w:p>
        </w:tc>
        <w:tc>
          <w:tcPr>
            <w:tcW w:type="dxa" w:w="4500"/>
            <w:tcMar>
              <w:top w:type="dxa" w:w="60"/>
              <w:left w:type="dxa" w:w="100"/>
              <w:bottom w:type="dxa" w:w="60"/>
              <w:right w:type="dxa" w:w="100"/>
            </w:tcMar>
          </w:tcPr>
          <w:p>
            <w:r>
              <w:rPr>
                <w:b w:val="false"/>
                <w:bCs w:val="false"/>
              </w:rPr>
              <w:t xml:space="preserve">NIST Compliance. SA-2 MET extended; SC-5 and SI-4 improved by this ADR.</w:t>
            </w:r>
          </w:p>
        </w:tc>
      </w:tr>
      <w:tr>
        <w:tc>
          <w:tcPr>
            <w:tcW w:type="dxa" w:w="4500"/>
            <w:tcMar>
              <w:top w:type="dxa" w:w="60"/>
              <w:left w:type="dxa" w:w="100"/>
              <w:bottom w:type="dxa" w:w="60"/>
              <w:right w:type="dxa" w:w="100"/>
            </w:tcMar>
          </w:tcPr>
          <w:p>
            <w:r>
              <w:rPr>
                <w:b w:val="false"/>
                <w:bCs w:val="false"/>
              </w:rPr>
              <w:t xml:space="preserve">ADR-033</w:t>
            </w:r>
          </w:p>
        </w:tc>
        <w:tc>
          <w:tcPr>
            <w:tcW w:type="dxa" w:w="4500"/>
            <w:tcMar>
              <w:top w:type="dxa" w:w="60"/>
              <w:left w:type="dxa" w:w="100"/>
              <w:bottom w:type="dxa" w:w="60"/>
              <w:right w:type="dxa" w:w="100"/>
            </w:tcMar>
          </w:tcPr>
          <w:p>
            <w:r>
              <w:rPr>
                <w:b w:val="false"/>
                <w:bCs w:val="false"/>
              </w:rPr>
              <w:t xml:space="preserve">Dashboard Metrics. mem_used_gb alert thresholds amended in Section 7. hardware_metrics.sql alert view must be updated on setup day.</w:t>
            </w:r>
          </w:p>
        </w:tc>
      </w:tr>
      <w:tr>
        <w:tc>
          <w:tcPr>
            <w:tcW w:type="dxa" w:w="4500"/>
            <w:tcMar>
              <w:top w:type="dxa" w:w="60"/>
              <w:left w:type="dxa" w:w="100"/>
              <w:bottom w:type="dxa" w:w="60"/>
              <w:right w:type="dxa" w:w="100"/>
            </w:tcMar>
          </w:tcPr>
          <w:p>
            <w:r>
              <w:rPr>
                <w:b w:val="false"/>
                <w:bCs w:val="false"/>
              </w:rPr>
              <w:t xml:space="preserve">ADR-034</w:t>
            </w:r>
          </w:p>
        </w:tc>
        <w:tc>
          <w:tcPr>
            <w:tcW w:type="dxa" w:w="4500"/>
            <w:tcMar>
              <w:top w:type="dxa" w:w="60"/>
              <w:left w:type="dxa" w:w="100"/>
              <w:bottom w:type="dxa" w:w="60"/>
              <w:right w:type="dxa" w:w="100"/>
            </w:tcMar>
          </w:tcPr>
          <w:p>
            <w:r>
              <w:rPr>
                <w:b w:val="false"/>
                <w:bCs w:val="false"/>
              </w:rPr>
              <w:t xml:space="preserve">Hardware Telemetry Collector. hw_collector.py reads mem_used_gb and mem_swap_gb. Revised thresholds apply to alert view only — no change to collector logic.</w:t>
            </w:r>
          </w:p>
        </w:tc>
      </w:tr>
    </w:tbl>
    <w:p>
      <w:pPr>
        <w:spacing w:after="160"/>
      </w:pPr>
    </w:p>
    <w:p>
      <w:pPr>
        <w:pStyle w:val="Heading1"/>
        <w:spacing w:after="140" w:before="280"/>
      </w:pPr>
      <w:r>
        <w:t xml:space="preserve">13.  Risk Assessment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Mar>
              <w:top w:type="dxa" w:w="60"/>
              <w:left w:type="dxa" w:w="100"/>
              <w:bottom w:type="dxa" w:w="60"/>
              <w:right w:type="dxa" w:w="100"/>
            </w:tcMar>
          </w:tcPr>
          <w:p>
            <w:r>
              <w:rPr>
                <w:b/>
                <w:bCs/>
              </w:rPr>
              <w:t xml:space="preserve">Risk</w:t>
            </w:r>
          </w:p>
        </w:tc>
        <w:tc>
          <w:tcPr>
            <w:tcW w:type="dxa" w:w="3000"/>
            <w:shd w:fill="D9E2F3" w:val="clear"/>
            <w:tcMar>
              <w:top w:type="dxa" w:w="60"/>
              <w:left w:type="dxa" w:w="100"/>
              <w:bottom w:type="dxa" w:w="60"/>
              <w:right w:type="dxa" w:w="100"/>
            </w:tcMar>
          </w:tcPr>
          <w:p>
            <w:r>
              <w:rPr>
                <w:b/>
                <w:bCs/>
              </w:rPr>
              <w:t xml:space="preserve">Likelihood</w:t>
            </w:r>
          </w:p>
        </w:tc>
        <w:tc>
          <w:tcPr>
            <w:tcW w:type="dxa" w:w="3000"/>
            <w:shd w:fill="D9E2F3" w:val="clear"/>
            <w:tcMar>
              <w:top w:type="dxa" w:w="60"/>
              <w:left w:type="dxa" w:w="100"/>
              <w:bottom w:type="dxa" w:w="60"/>
              <w:right w:type="dxa" w:w="100"/>
            </w:tcMar>
          </w:tcPr>
          <w:p>
            <w:r>
              <w:rPr>
                <w:b/>
                <w:bCs/>
              </w:rPr>
              <w:t xml:space="preserve">Mitigation</w:t>
            </w:r>
          </w:p>
        </w:tc>
      </w:tr>
      <w:tr>
        <w:tc>
          <w:tcPr>
            <w:tcW w:type="dxa" w:w="3000"/>
            <w:tcMar>
              <w:top w:type="dxa" w:w="60"/>
              <w:left w:type="dxa" w:w="100"/>
              <w:bottom w:type="dxa" w:w="60"/>
              <w:right w:type="dxa" w:w="100"/>
            </w:tcMar>
          </w:tcPr>
          <w:p>
            <w:r>
              <w:rPr>
                <w:b w:val="false"/>
                <w:bCs w:val="false"/>
              </w:rPr>
              <w:t xml:space="preserve">OS memory starvation (swap &gt; 0)</w:t>
            </w:r>
          </w:p>
        </w:tc>
        <w:tc>
          <w:tcPr>
            <w:tcW w:type="dxa" w:w="3000"/>
            <w:tcMar>
              <w:top w:type="dxa" w:w="60"/>
              <w:left w:type="dxa" w:w="100"/>
              <w:bottom w:type="dxa" w:w="60"/>
              <w:right w:type="dxa" w:w="100"/>
            </w:tcMar>
          </w:tcPr>
          <w:p>
            <w:r>
              <w:rPr>
                <w:b w:val="false"/>
                <w:bCs w:val="false"/>
              </w:rPr>
              <w:t xml:space="preserve">Low — headless workload with no GUI applications</w:t>
            </w:r>
          </w:p>
        </w:tc>
        <w:tc>
          <w:tcPr>
            <w:tcW w:type="dxa" w:w="3000"/>
            <w:tcMar>
              <w:top w:type="dxa" w:w="60"/>
              <w:left w:type="dxa" w:w="100"/>
              <w:bottom w:type="dxa" w:w="60"/>
              <w:right w:type="dxa" w:w="100"/>
            </w:tcMar>
          </w:tcPr>
          <w:p>
            <w:r>
              <w:rPr>
                <w:b w:val="false"/>
                <w:bCs w:val="false"/>
              </w:rPr>
              <w:t xml:space="preserve">Swap &gt; 0 triggers critical Telegram alert (ADR-033). Reversal procedure in Section 9 resets to 75% default immediately without reboot.</w:t>
            </w:r>
          </w:p>
        </w:tc>
      </w:tr>
      <w:tr>
        <w:tc>
          <w:tcPr>
            <w:tcW w:type="dxa" w:w="3000"/>
            <w:tcMar>
              <w:top w:type="dxa" w:w="60"/>
              <w:left w:type="dxa" w:w="100"/>
              <w:bottom w:type="dxa" w:w="60"/>
              <w:right w:type="dxa" w:w="100"/>
            </w:tcMar>
          </w:tcPr>
          <w:p>
            <w:r>
              <w:rPr>
                <w:b w:val="false"/>
                <w:bCs w:val="false"/>
              </w:rPr>
              <w:t xml:space="preserve">System instability on 32 GB config at 87.5%</w:t>
            </w:r>
          </w:p>
        </w:tc>
        <w:tc>
          <w:tcPr>
            <w:tcW w:type="dxa" w:w="3000"/>
            <w:tcMar>
              <w:top w:type="dxa" w:w="60"/>
              <w:left w:type="dxa" w:w="100"/>
              <w:bottom w:type="dxa" w:w="60"/>
              <w:right w:type="dxa" w:w="100"/>
            </w:tcMar>
          </w:tcPr>
          <w:p>
            <w:r>
              <w:rPr>
                <w:b w:val="false"/>
                <w:bCs w:val="false"/>
              </w:rPr>
              <w:t xml:space="preserve">Low-Medium — tighter OS reserve than 64 GB</w:t>
            </w:r>
          </w:p>
        </w:tc>
        <w:tc>
          <w:tcPr>
            <w:tcW w:type="dxa" w:w="3000"/>
            <w:tcMar>
              <w:top w:type="dxa" w:w="60"/>
              <w:left w:type="dxa" w:w="100"/>
              <w:bottom w:type="dxa" w:w="60"/>
              <w:right w:type="dxa" w:w="100"/>
            </w:tcMar>
          </w:tcPr>
          <w:p>
            <w:r>
              <w:rPr>
                <w:b w:val="false"/>
                <w:bCs w:val="false"/>
              </w:rPr>
              <w:t xml:space="preserve">Reboot resets to 75% default if LaunchDaemon is unloaded. Intermediate value (85%) available as fallback before full reversal.</w:t>
            </w:r>
          </w:p>
        </w:tc>
      </w:tr>
      <w:tr>
        <w:tc>
          <w:tcPr>
            <w:tcW w:type="dxa" w:w="3000"/>
            <w:tcMar>
              <w:top w:type="dxa" w:w="60"/>
              <w:left w:type="dxa" w:w="100"/>
              <w:bottom w:type="dxa" w:w="60"/>
              <w:right w:type="dxa" w:w="100"/>
            </w:tcMar>
          </w:tcPr>
          <w:p>
            <w:r>
              <w:rPr>
                <w:b w:val="false"/>
                <w:bCs w:val="false"/>
              </w:rPr>
              <w:t xml:space="preserve">macOS update changes iogpu.wired_limit_mb behavior</w:t>
            </w:r>
          </w:p>
        </w:tc>
        <w:tc>
          <w:tcPr>
            <w:tcW w:type="dxa" w:w="3000"/>
            <w:tcMar>
              <w:top w:type="dxa" w:w="60"/>
              <w:left w:type="dxa" w:w="100"/>
              <w:bottom w:type="dxa" w:w="60"/>
              <w:right w:type="dxa" w:w="100"/>
            </w:tcMar>
          </w:tcPr>
          <w:p>
            <w:r>
              <w:rPr>
                <w:b w:val="false"/>
                <w:bCs w:val="false"/>
              </w:rPr>
              <w:t xml:space="preserve">Low — parameter stable since Sonoma 14.x</w:t>
            </w:r>
          </w:p>
        </w:tc>
        <w:tc>
          <w:tcPr>
            <w:tcW w:type="dxa" w:w="3000"/>
            <w:tcMar>
              <w:top w:type="dxa" w:w="60"/>
              <w:left w:type="dxa" w:w="100"/>
              <w:bottom w:type="dxa" w:w="60"/>
              <w:right w:type="dxa" w:w="100"/>
            </w:tcMar>
          </w:tcPr>
          <w:p>
            <w:r>
              <w:rPr>
                <w:b w:val="false"/>
                <w:bCs w:val="false"/>
              </w:rPr>
              <w:t xml:space="preserve">LaunchDaemon log captures applied value on each boot. Any behavioral change detected at next boot verification. ADR-031 review triggered on OS major version update.</w:t>
            </w:r>
          </w:p>
        </w:tc>
      </w:tr>
      <w:tr>
        <w:tc>
          <w:tcPr>
            <w:tcW w:type="dxa" w:w="3000"/>
            <w:tcMar>
              <w:top w:type="dxa" w:w="60"/>
              <w:left w:type="dxa" w:w="100"/>
              <w:bottom w:type="dxa" w:w="60"/>
              <w:right w:type="dxa" w:w="100"/>
            </w:tcMar>
          </w:tcPr>
          <w:p>
            <w:r>
              <w:rPr>
                <w:b w:val="false"/>
                <w:bCs w:val="false"/>
              </w:rPr>
              <w:t xml:space="preserve">Setting silently fails to apply at boot</w:t>
            </w:r>
          </w:p>
        </w:tc>
        <w:tc>
          <w:tcPr>
            <w:tcW w:type="dxa" w:w="3000"/>
            <w:tcMar>
              <w:top w:type="dxa" w:w="60"/>
              <w:left w:type="dxa" w:w="100"/>
              <w:bottom w:type="dxa" w:w="60"/>
              <w:right w:type="dxa" w:w="100"/>
            </w:tcMar>
          </w:tcPr>
          <w:p>
            <w:r>
              <w:rPr>
                <w:b w:val="false"/>
                <w:bCs w:val="false"/>
              </w:rPr>
              <w:t xml:space="preserve">Very Low</w:t>
            </w:r>
          </w:p>
        </w:tc>
        <w:tc>
          <w:tcPr>
            <w:tcW w:type="dxa" w:w="3000"/>
            <w:tcMar>
              <w:top w:type="dxa" w:w="60"/>
              <w:left w:type="dxa" w:w="100"/>
              <w:bottom w:type="dxa" w:w="60"/>
              <w:right w:type="dxa" w:w="100"/>
            </w:tcMar>
          </w:tcPr>
          <w:p>
            <w:r>
              <w:rPr>
                <w:b w:val="false"/>
                <w:bCs w:val="false"/>
              </w:rPr>
              <w:t xml:space="preserve">Boot log verification (Step 6 of setup sequence) and sysctl read confirm active value. LaunchDaemon stderr log captures any failure.</w:t>
            </w:r>
          </w:p>
        </w:tc>
      </w:tr>
    </w:tbl>
    <w:p>
      <w:pPr>
        <w:spacing w:after="160"/>
      </w:pPr>
    </w:p>
    <w:p>
      <w:pPr>
        <w:pStyle w:val="Heading1"/>
        <w:spacing w:after="140" w:before="280"/>
      </w:pPr>
      <w:r>
        <w:t xml:space="preserve">14.  Future Considerations</w:t>
      </w:r>
    </w:p>
    <w:p>
      <w:pPr>
        <w:pStyle w:val="ListParagraph"/>
        <w:numPr>
          <w:ilvl w:val="0"/>
          <w:numId w:val="1"/>
        </w:numPr>
        <w:spacing w:after="80"/>
      </w:pPr>
      <w:r>
        <w:rPr>
          <w:b w:val="false"/>
          <w:bCs w:val="false"/>
        </w:rPr>
        <w:t xml:space="preserve">If a 64 GB configuration is purchased and proves stable at 90% over 30 days of operation, the operator may evaluate raising to 92-93% (up to 61,440 MB). Any change requires a new ADR-031 change log entry and a 48-hour observation period with swap monitoring before the LaunchDaemon is updated.</w:t>
      </w:r>
    </w:p>
    <w:p>
      <w:pPr>
        <w:pStyle w:val="ListParagraph"/>
        <w:numPr>
          <w:ilvl w:val="0"/>
          <w:numId w:val="1"/>
        </w:numPr>
        <w:spacing w:after="80"/>
      </w:pPr>
      <w:r>
        <w:rPr>
          <w:b w:val="false"/>
          <w:bCs w:val="false"/>
        </w:rPr>
        <w:t xml:space="preserve">Phase 2 compliance_monitor should include a boot-time verification check confirming iogpu.wired_limit_mb matches the value recorded in this ADR. A mismatch (e.g., after an OS update that resets the parameter) should generate a Telegram alert.</w:t>
      </w:r>
    </w:p>
    <w:p>
      <w:pPr>
        <w:pStyle w:val="ListParagraph"/>
        <w:numPr>
          <w:ilvl w:val="0"/>
          <w:numId w:val="1"/>
        </w:numPr>
        <w:spacing w:after="80"/>
      </w:pPr>
      <w:r>
        <w:rPr>
          <w:b w:val="false"/>
          <w:bCs w:val="false"/>
        </w:rPr>
        <w:t xml:space="preserve">MLX vs. Ollama (ADR-027 open question, deferred to Phase 2) may affect the optimal GPU allocation. MLX uses a different memory management model than llama.cpp Metal backend. Revisit this ADR when MLX evaluation is conducted.</w:t>
      </w:r>
    </w:p>
    <w:p>
      <w:pPr>
        <w:spacing w:after="120"/>
      </w:pPr>
      <w:r>
        <w:rPr>
          <w:b w:val="false"/>
          <w:bCs w:val="false"/>
          <w:i/>
          <w:iCs/>
        </w:rPr>
        <w:t xml:space="preserve">ADR-036 recorded April 4, 2026. Configuration-specific MB values selected on setup day. SIP intact throughout.</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ADR-036 test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2026-08-23T12:03:15.219Z</dcterms:created>
  <dcterms:modified xsi:type="dcterms:W3CDTF">2026-08-23T12:03:15.220Z</dcterms:modified>
</cp:coreProperties>
</file>

<file path=docProps/custom.xml><?xml version="1.0" encoding="utf-8"?>
<Properties xmlns="http://schemas.openxmlformats.org/officeDocument/2006/custom-properties" xmlns:vt="http://schemas.openxmlformats.org/officeDocument/2006/docPropsVTypes"/>
</file>