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4"/>
          <w:szCs w:val="44"/>
        </w:rPr>
        <w:t xml:space="preserve">ADR-042</w:t>
      </w:r>
    </w:p>
    <w:p>
      <w:pPr>
        <w:spacing w:after="80"/>
        <w:jc w:val="center"/>
      </w:pPr>
      <w:r>
        <w:rPr>
          <w:b/>
          <w:bCs/>
          <w:sz w:val="26"/>
          <w:szCs w:val="26"/>
        </w:rPr>
        <w:t xml:space="preserve">ADR Corpus Reconciliation — “Mac Mini” Project Knowledge vs. Local Document Store</w:t>
      </w:r>
    </w:p>
    <w:p>
      <w:pPr>
        <w:spacing w:after="320"/>
        <w:jc w:val="center"/>
      </w:pPr>
      <w:r>
        <w:rPr>
          <w:i/>
          <w:iCs/>
          <w:sz w:val="20"/>
          <w:szCs w:val="20"/>
        </w:rPr>
        <w:t xml:space="preserve">OpenClaw — Phase 1    |    Drafted August 22, 2026    |    Amended August 23, 2026    |    Status OPEN</w:t>
      </w:r>
    </w:p>
    <w:p>
      <w:pPr>
        <w:pStyle w:val="Heading1"/>
        <w:spacing w:after="160" w:before="320"/>
      </w:pPr>
      <w:r>
        <w:rPr>
          <w:b/>
          <w:bCs/>
          <w:sz w:val="28"/>
          <w:szCs w:val="28"/>
        </w:rPr>
        <w:t xml:space="preserve">1.  Decision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7E6E6" w:val="clear"/>
            <w:tcMar>
              <w:top w:type="dxa" w:w="100"/>
              <w:left w:type="dxa" w:w="120"/>
              <w:bottom w:type="dxa" w:w="100"/>
              <w:right w:type="dxa" w:w="120"/>
            </w:tcMar>
          </w:tcPr>
          <w:p>
            <w:pPr>
              <w:jc w:val="left"/>
            </w:pPr>
            <w:r>
              <w:rPr>
                <w:b/>
                <w:bCs/>
              </w:rPr>
              <w:t xml:space="preserve">ADR Number</w:t>
            </w:r>
          </w:p>
        </w:tc>
        <w:tc>
          <w:tcPr>
            <w:tcW w:type="dxa" w:w="6950"/>
            <w:tcMar>
              <w:top w:type="dxa" w:w="100"/>
              <w:left w:type="dxa" w:w="120"/>
              <w:bottom w:type="dxa" w:w="100"/>
              <w:right w:type="dxa" w:w="120"/>
            </w:tcMar>
          </w:tcPr>
          <w:p>
            <w:pPr>
              <w:jc w:val="left"/>
            </w:pPr>
            <w:r>
              <w:rPr>
                <w:b w:val="false"/>
                <w:bCs w:val="false"/>
              </w:rPr>
              <w:t xml:space="preserve">ADR-042</w:t>
            </w:r>
          </w:p>
        </w:tc>
      </w:tr>
      <w:tr>
        <w:tc>
          <w:tcPr>
            <w:tcW w:type="dxa" w:w="2400"/>
            <w:shd w:fill="E7E6E6" w:val="clear"/>
            <w:tcMar>
              <w:top w:type="dxa" w:w="100"/>
              <w:left w:type="dxa" w:w="120"/>
              <w:bottom w:type="dxa" w:w="100"/>
              <w:right w:type="dxa" w:w="120"/>
            </w:tcMar>
          </w:tcPr>
          <w:p>
            <w:pPr>
              <w:jc w:val="left"/>
            </w:pPr>
            <w:r>
              <w:rPr>
                <w:b/>
                <w:bCs/>
              </w:rPr>
              <w:t xml:space="preserve">Title</w:t>
            </w:r>
          </w:p>
        </w:tc>
        <w:tc>
          <w:tcPr>
            <w:tcW w:type="dxa" w:w="6950"/>
            <w:tcMar>
              <w:top w:type="dxa" w:w="100"/>
              <w:left w:type="dxa" w:w="120"/>
              <w:bottom w:type="dxa" w:w="100"/>
              <w:right w:type="dxa" w:w="120"/>
            </w:tcMar>
          </w:tcPr>
          <w:p>
            <w:pPr>
              <w:jc w:val="left"/>
            </w:pPr>
            <w:r>
              <w:rPr>
                <w:b w:val="false"/>
                <w:bCs w:val="false"/>
              </w:rPr>
              <w:t xml:space="preserve">ADR Corpus Reconciliation — “Mac Mini” Project Knowledge vs. Local Document Store</w:t>
            </w:r>
          </w:p>
        </w:tc>
      </w:tr>
      <w:tr>
        <w:tc>
          <w:tcPr>
            <w:tcW w:type="dxa" w:w="2400"/>
            <w:shd w:fill="E7E6E6" w:val="clear"/>
            <w:tcMar>
              <w:top w:type="dxa" w:w="100"/>
              <w:left w:type="dxa" w:w="120"/>
              <w:bottom w:type="dxa" w:w="100"/>
              <w:right w:type="dxa" w:w="120"/>
            </w:tcMar>
          </w:tcPr>
          <w:p>
            <w:pPr>
              <w:jc w:val="left"/>
            </w:pPr>
            <w:r>
              <w:rPr>
                <w:b/>
                <w:bCs/>
              </w:rPr>
              <w:t xml:space="preserve">Status</w:t>
            </w:r>
          </w:p>
        </w:tc>
        <w:tc>
          <w:tcPr>
            <w:tcW w:type="dxa" w:w="6950"/>
            <w:tcMar>
              <w:top w:type="dxa" w:w="100"/>
              <w:left w:type="dxa" w:w="120"/>
              <w:bottom w:type="dxa" w:w="100"/>
              <w:right w:type="dxa" w:w="120"/>
            </w:tcMar>
          </w:tcPr>
          <w:p>
            <w:pPr>
              <w:jc w:val="left"/>
            </w:pPr>
            <w:r>
              <w:rPr>
                <w:b w:val="false"/>
                <w:bCs w:val="false"/>
              </w:rPr>
              <w:t xml:space="preserve">OPEN — Drafted August 22, 2026. Explicitly deferred by operator direction: reconciliation is a dedicated future project, not in-scope for the current session. No target date set. AMENDED August 23, 2026 — corrected a project-name misattribution; see Section 9 (Amendment Log).</w:t>
            </w:r>
          </w:p>
        </w:tc>
      </w:tr>
      <w:tr>
        <w:tc>
          <w:tcPr>
            <w:tcW w:type="dxa" w:w="2400"/>
            <w:shd w:fill="E7E6E6" w:val="clear"/>
            <w:tcMar>
              <w:top w:type="dxa" w:w="100"/>
              <w:left w:type="dxa" w:w="120"/>
              <w:bottom w:type="dxa" w:w="100"/>
              <w:right w:type="dxa" w:w="120"/>
            </w:tcMar>
          </w:tcPr>
          <w:p>
            <w:pPr>
              <w:jc w:val="left"/>
            </w:pPr>
            <w:r>
              <w:rPr>
                <w:b/>
                <w:bCs/>
              </w:rPr>
              <w:t xml:space="preserve">Deciders</w:t>
            </w:r>
          </w:p>
        </w:tc>
        <w:tc>
          <w:tcPr>
            <w:tcW w:type="dxa" w:w="6950"/>
            <w:tcMar>
              <w:top w:type="dxa" w:w="100"/>
              <w:left w:type="dxa" w:w="120"/>
              <w:bottom w:type="dxa" w:w="100"/>
              <w:right w:type="dxa" w:w="120"/>
            </w:tcMar>
          </w:tcPr>
          <w:p>
            <w:pPr>
              <w:jc w:val="left"/>
            </w:pPr>
            <w:r>
              <w:rPr>
                <w:b w:val="false"/>
                <w:bCs w:val="false"/>
              </w:rPr>
              <w:t xml:space="preserve">Sheldon Wheeler (owner, sole operator)</w:t>
            </w:r>
          </w:p>
        </w:tc>
      </w:tr>
      <w:tr>
        <w:tc>
          <w:tcPr>
            <w:tcW w:type="dxa" w:w="2400"/>
            <w:shd w:fill="E7E6E6" w:val="clear"/>
            <w:tcMar>
              <w:top w:type="dxa" w:w="100"/>
              <w:left w:type="dxa" w:w="120"/>
              <w:bottom w:type="dxa" w:w="100"/>
              <w:right w:type="dxa" w:w="120"/>
            </w:tcMar>
          </w:tcPr>
          <w:p>
            <w:pPr>
              <w:jc w:val="left"/>
            </w:pPr>
            <w:r>
              <w:rPr>
                <w:b/>
                <w:bCs/>
              </w:rPr>
              <w:t xml:space="preserve">ADR References</w:t>
            </w:r>
          </w:p>
        </w:tc>
        <w:tc>
          <w:tcPr>
            <w:tcW w:type="dxa" w:w="6950"/>
            <w:tcMar>
              <w:top w:type="dxa" w:w="100"/>
              <w:left w:type="dxa" w:w="120"/>
              <w:bottom w:type="dxa" w:w="100"/>
              <w:right w:type="dxa" w:w="120"/>
            </w:tcMar>
          </w:tcPr>
          <w:p>
            <w:pPr>
              <w:jc w:val="left"/>
            </w:pPr>
            <w:r>
              <w:rPr>
                <w:b w:val="false"/>
                <w:bCs w:val="false"/>
              </w:rPr>
              <w:t xml:space="preserve">ADR-014 (scopes Claude Code to ~/openclaw — itself one of the ADRs this reconciliation problem covers); ADR-039 §5.6 (A6 project-knowledge refresh cadence — related but distinct: A6 keeps project knowledge current, this ADR addresses where the ADR corpus itself lives)</w:t>
            </w:r>
          </w:p>
        </w:tc>
      </w:tr>
      <w:tr>
        <w:tc>
          <w:tcPr>
            <w:tcW w:type="dxa" w:w="2400"/>
            <w:shd w:fill="E7E6E6" w:val="clear"/>
            <w:tcMar>
              <w:top w:type="dxa" w:w="100"/>
              <w:left w:type="dxa" w:w="120"/>
              <w:bottom w:type="dxa" w:w="100"/>
              <w:right w:type="dxa" w:w="120"/>
            </w:tcMar>
          </w:tcPr>
          <w:p>
            <w:pPr>
              <w:jc w:val="left"/>
            </w:pPr>
            <w:r>
              <w:rPr>
                <w:b/>
                <w:bCs/>
              </w:rPr>
              <w:t xml:space="preserve">NIST Controls</w:t>
            </w:r>
          </w:p>
        </w:tc>
        <w:tc>
          <w:tcPr>
            <w:tcW w:type="dxa" w:w="6950"/>
            <w:tcMar>
              <w:top w:type="dxa" w:w="100"/>
              <w:left w:type="dxa" w:w="120"/>
              <w:bottom w:type="dxa" w:w="100"/>
              <w:right w:type="dxa" w:w="120"/>
            </w:tcMar>
          </w:tcPr>
          <w:p>
            <w:pPr>
              <w:jc w:val="left"/>
            </w:pPr>
            <w:r>
              <w:rPr>
                <w:b w:val="false"/>
                <w:bCs w:val="false"/>
              </w:rPr>
              <w:t xml:space="preserve">CM-3 · CM-8 · CM-9 · AU-6</w:t>
            </w:r>
          </w:p>
        </w:tc>
      </w:tr>
      <w:tr>
        <w:tc>
          <w:tcPr>
            <w:tcW w:type="dxa" w:w="2400"/>
            <w:shd w:fill="E7E6E6" w:val="clear"/>
            <w:tcMar>
              <w:top w:type="dxa" w:w="100"/>
              <w:left w:type="dxa" w:w="120"/>
              <w:bottom w:type="dxa" w:w="100"/>
              <w:right w:type="dxa" w:w="120"/>
            </w:tcMar>
          </w:tcPr>
          <w:p>
            <w:pPr>
              <w:jc w:val="left"/>
            </w:pPr>
            <w:r>
              <w:rPr>
                <w:b/>
                <w:bCs/>
              </w:rPr>
              <w:t xml:space="preserve">Phase Scope</w:t>
            </w:r>
          </w:p>
        </w:tc>
        <w:tc>
          <w:tcPr>
            <w:tcW w:type="dxa" w:w="6950"/>
            <w:tcMar>
              <w:top w:type="dxa" w:w="100"/>
              <w:left w:type="dxa" w:w="120"/>
              <w:bottom w:type="dxa" w:w="100"/>
              <w:right w:type="dxa" w:w="120"/>
            </w:tcMar>
          </w:tcPr>
          <w:p>
            <w:pPr>
              <w:jc w:val="left"/>
            </w:pPr>
            <w:r>
              <w:rPr>
                <w:b w:val="false"/>
                <w:bCs w:val="false"/>
              </w:rPr>
              <w:t xml:space="preserve">Phase 1 — documentation and governance only. No code or infrastructure change.</w:t>
            </w:r>
          </w:p>
        </w:tc>
      </w:tr>
      <w:tr>
        <w:tc>
          <w:tcPr>
            <w:tcW w:type="dxa" w:w="2400"/>
            <w:shd w:fill="E7E6E6" w:val="clear"/>
            <w:tcMar>
              <w:top w:type="dxa" w:w="100"/>
              <w:left w:type="dxa" w:w="120"/>
              <w:bottom w:type="dxa" w:w="100"/>
              <w:right w:type="dxa" w:w="120"/>
            </w:tcMar>
          </w:tcPr>
          <w:p>
            <w:pPr>
              <w:jc w:val="left"/>
            </w:pPr>
            <w:r>
              <w:rPr>
                <w:b/>
                <w:bCs/>
              </w:rPr>
              <w:t xml:space="preserve">Supersedes</w:t>
            </w:r>
          </w:p>
        </w:tc>
        <w:tc>
          <w:tcPr>
            <w:tcW w:type="dxa" w:w="6950"/>
            <w:tcMar>
              <w:top w:type="dxa" w:w="100"/>
              <w:left w:type="dxa" w:w="120"/>
              <w:bottom w:type="dxa" w:w="100"/>
              <w:right w:type="dxa" w:w="120"/>
            </w:tcMar>
          </w:tcPr>
          <w:p>
            <w:pPr>
              <w:jc w:val="left"/>
            </w:pPr>
            <w:r>
              <w:rPr>
                <w:b w:val="false"/>
                <w:bCs w:val="false"/>
              </w:rPr>
              <w:t xml:space="preserve">None</w:t>
            </w:r>
          </w:p>
        </w:tc>
      </w:tr>
    </w:tbl>
    <w:p>
      <w:pPr>
        <w:pStyle w:val="Heading1"/>
        <w:spacing w:after="160" w:before="320"/>
      </w:pPr>
      <w:r>
        <w:rPr>
          <w:b/>
          <w:bCs/>
          <w:sz w:val="28"/>
          <w:szCs w:val="28"/>
        </w:rPr>
        <w:t xml:space="preserve">2.  Problem Statement</w:t>
      </w:r>
    </w:p>
    <w:p>
      <w:pPr>
        <w:spacing w:after="160"/>
      </w:pPr>
      <w:r>
        <w:rPr>
          <w:i w:val="false"/>
          <w:iCs w:val="false"/>
        </w:rPr>
        <w:t xml:space="preserve">Discovered incidentally during Entry #022 (send-to-inbox implementation, August 22, 2026), while resolving an unrelated finding that this Claude Code session had been operating from a second, unsanctioned local git clone (~/projects/mac-mini) instead of the ADR-014-scoped ~/openclaw. In the course of confirming ADR-014's own text and scope, a broader and more consequential gap surfaced: the ADR corpus this repository's code and changelog actively cite is split across two systems that have never been reconciled.</w:t>
      </w:r>
    </w:p>
    <w:p>
      <w:pPr>
        <w:spacing w:after="160"/>
      </w:pPr>
      <w:r>
        <w:rPr>
          <w:i w:val="false"/>
          <w:iCs w:val="false"/>
        </w:rPr>
        <w:t xml:space="preserve">~/openclaw holds ten physical ADR .docx files: ADR-031, 033, 034, 035, 036, 037, 038, 039, 040, 041.</w:t>
      </w:r>
    </w:p>
    <w:p>
      <w:pPr>
        <w:spacing w:after="160"/>
      </w:pPr>
      <w:r>
        <w:rPr>
          <w:i w:val="false"/>
          <w:iCs w:val="false"/>
        </w:rPr>
        <w:t xml:space="preserve">A search of changelog.md, CURRENT_STATE.md, NEXT_SESSION_OPENER.md, and app/*.py for every “ADR-NNN” citation found twelve ADR numbers referenced as active, operative governance — including ADR-014, the ADR that scopes Claude Code's own working directory — with no corresponding physical document anywhere in ~/openclaw: ADR-003, 005, 014, 017, 019, 020, 021, 022, 027, 028, 029, 030.</w:t>
      </w:r>
    </w:p>
    <w:p>
      <w:pPr>
        <w:spacing w:after="160"/>
      </w:pPr>
      <w:r>
        <w:rPr>
          <w:i w:val="false"/>
          <w:iCs w:val="false"/>
        </w:rPr>
        <w:t xml:space="preserve">One physical document, ADR-036, is never referenced anywhere in code, changelog, or the state docs — an orphan whose active/superseded status is currently unconfirmed.</w:t>
      </w:r>
    </w:p>
    <w:p>
      <w:pPr>
        <w:spacing w:after="160"/>
      </w:pPr>
      <w:r>
        <w:rPr>
          <w:i w:val="false"/>
          <w:iCs w:val="false"/>
        </w:rPr>
        <w:t xml:space="preserve">ADR-032 is a numbering gap: no document exists locally and no reference to it appears anywhere in the repository.</w:t>
      </w:r>
    </w:p>
    <w:p>
      <w:pPr>
        <w:spacing w:after="160"/>
      </w:pPr>
      <w:r>
        <w:rPr>
          <w:i w:val="false"/>
          <w:iCs w:val="false"/>
        </w:rPr>
        <w:t xml:space="preserve">Sheldon confirmed in session that these lower-numbered ADRs were authored over several months in a Claude.ai Project named “Mac Mini,” which this Claude Code session has no API or tool access to read from directly — Claude.ai Projects are a separate product surface with no MCP/file bridge into Claude Code today.</w:t>
      </w:r>
    </w:p>
    <w:p>
      <w:pPr>
        <w:spacing w:after="160"/>
      </w:pPr>
      <w:r>
        <w:rPr>
          <w:i w:val="false"/>
          <w:iCs w:val="false"/>
        </w:rPr>
        <w:t xml:space="preserve">Net effect: the governance layer that this repository's own code and changelog cite by number is currently split across two disconnected systems, with no single index of record and no confirmed way for an agent operating in ~/openclaw (per ADR-014 itself) to verify an ADR's actual current text before relying on it.</w:t>
      </w:r>
    </w:p>
    <w:p>
      <w:pPr>
        <w:pStyle w:val="Heading1"/>
        <w:spacing w:after="160" w:before="320"/>
      </w:pPr>
      <w:r>
        <w:rPr>
          <w:b/>
          <w:bCs/>
          <w:sz w:val="28"/>
          <w:szCs w:val="28"/>
        </w:rPr>
        <w:t xml:space="preserve">3.  Trigger Conditions</w:t>
      </w:r>
    </w:p>
    <w:p>
      <w:pPr>
        <w:spacing w:after="160"/>
      </w:pPr>
      <w:r>
        <w:rPr>
          <w:i w:val="false"/>
          <w:iCs w:val="false"/>
        </w:rPr>
        <w:t xml:space="preserve">Per Sheldon's explicit direction (August 22, 2026), full reconciliation is deferred to a dedicated future project — no automatic trigger, no target date. The following are suggested, non-binding prompts for revisiting this ADR before that dedicated session:</w:t>
      </w:r>
    </w:p>
    <w:p>
      <w:pPr>
        <w:pStyle w:val="ListParagraph"/>
        <w:numPr>
          <w:ilvl w:val="0"/>
          <w:numId w:val="1"/>
        </w:numPr>
        <w:spacing w:after="80"/>
      </w:pPr>
      <w:r>
        <w:t xml:space="preserve">The next time a new ADR is drafted in either system, so numbering does not collide.</w:t>
      </w:r>
    </w:p>
    <w:p>
      <w:pPr>
        <w:pStyle w:val="ListParagraph"/>
        <w:numPr>
          <w:ilvl w:val="0"/>
          <w:numId w:val="1"/>
        </w:numPr>
        <w:spacing w:after="80"/>
      </w:pPr>
      <w:r>
        <w:t xml:space="preserve">Before any session grants an agent authority based on a specific ADR number that has no local record — that ADR's actual text should be pulled from “Mac Mini” and cross-checked before being relied on.</w:t>
      </w:r>
    </w:p>
    <w:p>
      <w:pPr>
        <w:pStyle w:val="ListParagraph"/>
        <w:numPr>
          <w:ilvl w:val="0"/>
          <w:numId w:val="1"/>
        </w:numPr>
        <w:spacing w:after="80"/>
      </w:pPr>
      <w:r>
        <w:t xml:space="preserve">Whenever Sheldon schedules a dedicated “ADR housekeeping” session.</w:t>
      </w:r>
    </w:p>
    <w:p>
      <w:pPr>
        <w:pStyle w:val="Heading1"/>
        <w:spacing w:after="160" w:before="320"/>
      </w:pPr>
      <w:r>
        <w:rPr>
          <w:b/>
          <w:bCs/>
          <w:sz w:val="28"/>
          <w:szCs w:val="28"/>
        </w:rPr>
        <w:t xml:space="preserve">4.  Known Inventory (as of August 22, 2026)</w:t>
      </w:r>
    </w:p>
    <w:p>
      <w:pPr>
        <w:spacing w:after="160"/>
      </w:pPr>
      <w:r>
        <w:rPr>
          <w:i/>
          <w:iCs/>
        </w:rPr>
        <w:t xml:space="preserve">This table reflects only what is visible from ~/openclaw's own text — code, changelog, and state docs. “Mac Mini” may hold additional ADRs never referenced locally (e.g. 001, 002, 004, 006–013, 015, 016, 018, 023–026); its true contents are unconfirmed pending export or read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550"/>
        <w:gridCol w:w="2200"/>
      </w:tblGrid>
      <w:tr>
        <w:tc>
          <w:tcPr>
            <w:tcW w:type="dxa" w:w="3600"/>
            <w:shd w:fill="E7E6E6" w:val="clear"/>
            <w:tcMar>
              <w:top w:type="dxa" w:w="100"/>
              <w:left w:type="dxa" w:w="120"/>
              <w:bottom w:type="dxa" w:w="100"/>
              <w:right w:type="dxa" w:w="120"/>
            </w:tcMar>
          </w:tcPr>
          <w:p>
            <w:pPr>
              <w:jc w:val="left"/>
            </w:pPr>
            <w:r>
              <w:rPr>
                <w:b/>
                <w:bCs/>
              </w:rPr>
              <w:t xml:space="preserve">Category</w:t>
            </w:r>
          </w:p>
        </w:tc>
        <w:tc>
          <w:tcPr>
            <w:tcW w:type="dxa" w:w="3550"/>
            <w:shd w:fill="E7E6E6" w:val="clear"/>
            <w:tcMar>
              <w:top w:type="dxa" w:w="100"/>
              <w:left w:type="dxa" w:w="120"/>
              <w:bottom w:type="dxa" w:w="100"/>
              <w:right w:type="dxa" w:w="120"/>
            </w:tcMar>
          </w:tcPr>
          <w:p>
            <w:pPr>
              <w:jc w:val="left"/>
            </w:pPr>
            <w:r>
              <w:rPr>
                <w:b/>
                <w:bCs/>
              </w:rPr>
              <w:t xml:space="preserve">ADR Numbers</w:t>
            </w:r>
          </w:p>
        </w:tc>
        <w:tc>
          <w:tcPr>
            <w:tcW w:type="dxa" w:w="2200"/>
            <w:shd w:fill="E7E6E6" w:val="clear"/>
            <w:tcMar>
              <w:top w:type="dxa" w:w="100"/>
              <w:left w:type="dxa" w:w="120"/>
              <w:bottom w:type="dxa" w:w="100"/>
              <w:right w:type="dxa" w:w="120"/>
            </w:tcMar>
          </w:tcPr>
          <w:p>
            <w:pPr>
              <w:jc w:val="left"/>
            </w:pPr>
            <w:r>
              <w:rPr>
                <w:b/>
                <w:bCs/>
              </w:rPr>
              <w:t xml:space="preserve">Count</w:t>
            </w:r>
          </w:p>
        </w:tc>
      </w:tr>
      <w:tr>
        <w:tc>
          <w:tcPr>
            <w:tcW w:type="dxa" w:w="3600"/>
            <w:tcMar>
              <w:top w:type="dxa" w:w="100"/>
              <w:left w:type="dxa" w:w="120"/>
              <w:bottom w:type="dxa" w:w="100"/>
              <w:right w:type="dxa" w:w="120"/>
            </w:tcMar>
          </w:tcPr>
          <w:p>
            <w:pPr>
              <w:jc w:val="left"/>
            </w:pPr>
            <w:r>
              <w:rPr>
                <w:b w:val="false"/>
                <w:bCs w:val="false"/>
              </w:rPr>
              <w:t xml:space="preserve">Document exists locally AND is actively referenced</w:t>
            </w:r>
          </w:p>
        </w:tc>
        <w:tc>
          <w:tcPr>
            <w:tcW w:type="dxa" w:w="3550"/>
            <w:tcMar>
              <w:top w:type="dxa" w:w="100"/>
              <w:left w:type="dxa" w:w="120"/>
              <w:bottom w:type="dxa" w:w="100"/>
              <w:right w:type="dxa" w:w="120"/>
            </w:tcMar>
          </w:tcPr>
          <w:p>
            <w:pPr>
              <w:jc w:val="left"/>
            </w:pPr>
            <w:r>
              <w:rPr>
                <w:b w:val="false"/>
                <w:bCs w:val="false"/>
              </w:rPr>
              <w:t xml:space="preserve">031, 033, 034, 035, 037, 038, 039, 040, 041</w:t>
            </w:r>
          </w:p>
        </w:tc>
        <w:tc>
          <w:tcPr>
            <w:tcW w:type="dxa" w:w="2200"/>
            <w:tcMar>
              <w:top w:type="dxa" w:w="100"/>
              <w:left w:type="dxa" w:w="120"/>
              <w:bottom w:type="dxa" w:w="100"/>
              <w:right w:type="dxa" w:w="120"/>
            </w:tcMar>
          </w:tcPr>
          <w:p>
            <w:pPr>
              <w:jc w:val="left"/>
            </w:pPr>
            <w:r>
              <w:rPr>
                <w:b w:val="false"/>
                <w:bCs w:val="false"/>
              </w:rPr>
              <w:t xml:space="preserve">9</w:t>
            </w:r>
          </w:p>
        </w:tc>
      </w:tr>
      <w:tr>
        <w:tc>
          <w:tcPr>
            <w:tcW w:type="dxa" w:w="3600"/>
            <w:tcMar>
              <w:top w:type="dxa" w:w="100"/>
              <w:left w:type="dxa" w:w="120"/>
              <w:bottom w:type="dxa" w:w="100"/>
              <w:right w:type="dxa" w:w="120"/>
            </w:tcMar>
          </w:tcPr>
          <w:p>
            <w:pPr>
              <w:jc w:val="left"/>
            </w:pPr>
            <w:r>
              <w:rPr>
                <w:b w:val="false"/>
                <w:bCs w:val="false"/>
              </w:rPr>
              <w:t xml:space="preserve">Document exists locally, never referenced anywhere (orphan)</w:t>
            </w:r>
          </w:p>
        </w:tc>
        <w:tc>
          <w:tcPr>
            <w:tcW w:type="dxa" w:w="3550"/>
            <w:tcMar>
              <w:top w:type="dxa" w:w="100"/>
              <w:left w:type="dxa" w:w="120"/>
              <w:bottom w:type="dxa" w:w="100"/>
              <w:right w:type="dxa" w:w="120"/>
            </w:tcMar>
          </w:tcPr>
          <w:p>
            <w:pPr>
              <w:jc w:val="left"/>
            </w:pPr>
            <w:r>
              <w:rPr>
                <w:b w:val="false"/>
                <w:bCs w:val="false"/>
              </w:rPr>
              <w:t xml:space="preserve">036</w:t>
            </w:r>
          </w:p>
        </w:tc>
        <w:tc>
          <w:tcPr>
            <w:tcW w:type="dxa" w:w="2200"/>
            <w:tcMar>
              <w:top w:type="dxa" w:w="100"/>
              <w:left w:type="dxa" w:w="120"/>
              <w:bottom w:type="dxa" w:w="100"/>
              <w:right w:type="dxa" w:w="120"/>
            </w:tcMar>
          </w:tcPr>
          <w:p>
            <w:pPr>
              <w:jc w:val="left"/>
            </w:pPr>
            <w:r>
              <w:rPr>
                <w:b w:val="false"/>
                <w:bCs w:val="false"/>
              </w:rPr>
              <w:t xml:space="preserve">1</w:t>
            </w:r>
          </w:p>
        </w:tc>
      </w:tr>
      <w:tr>
        <w:tc>
          <w:tcPr>
            <w:tcW w:type="dxa" w:w="3600"/>
            <w:tcMar>
              <w:top w:type="dxa" w:w="100"/>
              <w:left w:type="dxa" w:w="120"/>
              <w:bottom w:type="dxa" w:w="100"/>
              <w:right w:type="dxa" w:w="120"/>
            </w:tcMar>
          </w:tcPr>
          <w:p>
            <w:pPr>
              <w:jc w:val="left"/>
            </w:pPr>
            <w:r>
              <w:rPr>
                <w:b w:val="false"/>
                <w:bCs w:val="false"/>
              </w:rPr>
              <w:t xml:space="preserve">Referenced as active governance, no local document (presumed in “Mac Mini”)</w:t>
            </w:r>
          </w:p>
        </w:tc>
        <w:tc>
          <w:tcPr>
            <w:tcW w:type="dxa" w:w="3550"/>
            <w:tcMar>
              <w:top w:type="dxa" w:w="100"/>
              <w:left w:type="dxa" w:w="120"/>
              <w:bottom w:type="dxa" w:w="100"/>
              <w:right w:type="dxa" w:w="120"/>
            </w:tcMar>
          </w:tcPr>
          <w:p>
            <w:pPr>
              <w:jc w:val="left"/>
            </w:pPr>
            <w:r>
              <w:rPr>
                <w:b w:val="false"/>
                <w:bCs w:val="false"/>
              </w:rPr>
              <w:t xml:space="preserve">003, 005, 014, 017, 019, 020, 021, 022, 027, 028, 029, 030</w:t>
            </w:r>
          </w:p>
        </w:tc>
        <w:tc>
          <w:tcPr>
            <w:tcW w:type="dxa" w:w="2200"/>
            <w:tcMar>
              <w:top w:type="dxa" w:w="100"/>
              <w:left w:type="dxa" w:w="120"/>
              <w:bottom w:type="dxa" w:w="100"/>
              <w:right w:type="dxa" w:w="120"/>
            </w:tcMar>
          </w:tcPr>
          <w:p>
            <w:pPr>
              <w:jc w:val="left"/>
            </w:pPr>
            <w:r>
              <w:rPr>
                <w:b w:val="false"/>
                <w:bCs w:val="false"/>
              </w:rPr>
              <w:t xml:space="preserve">12</w:t>
            </w:r>
          </w:p>
        </w:tc>
      </w:tr>
      <w:tr>
        <w:tc>
          <w:tcPr>
            <w:tcW w:type="dxa" w:w="3600"/>
            <w:tcMar>
              <w:top w:type="dxa" w:w="100"/>
              <w:left w:type="dxa" w:w="120"/>
              <w:bottom w:type="dxa" w:w="100"/>
              <w:right w:type="dxa" w:w="120"/>
            </w:tcMar>
          </w:tcPr>
          <w:p>
            <w:pPr>
              <w:jc w:val="left"/>
            </w:pPr>
            <w:r>
              <w:rPr>
                <w:b w:val="false"/>
                <w:bCs w:val="false"/>
              </w:rPr>
              <w:t xml:space="preserve">Numbering gap — no document, no reference</w:t>
            </w:r>
          </w:p>
        </w:tc>
        <w:tc>
          <w:tcPr>
            <w:tcW w:type="dxa" w:w="3550"/>
            <w:tcMar>
              <w:top w:type="dxa" w:w="100"/>
              <w:left w:type="dxa" w:w="120"/>
              <w:bottom w:type="dxa" w:w="100"/>
              <w:right w:type="dxa" w:w="120"/>
            </w:tcMar>
          </w:tcPr>
          <w:p>
            <w:pPr>
              <w:jc w:val="left"/>
            </w:pPr>
            <w:r>
              <w:rPr>
                <w:b w:val="false"/>
                <w:bCs w:val="false"/>
              </w:rPr>
              <w:t xml:space="preserve">032</w:t>
            </w:r>
          </w:p>
        </w:tc>
        <w:tc>
          <w:tcPr>
            <w:tcW w:type="dxa" w:w="2200"/>
            <w:tcMar>
              <w:top w:type="dxa" w:w="100"/>
              <w:left w:type="dxa" w:w="120"/>
              <w:bottom w:type="dxa" w:w="100"/>
              <w:right w:type="dxa" w:w="120"/>
            </w:tcMar>
          </w:tcPr>
          <w:p>
            <w:pPr>
              <w:jc w:val="left"/>
            </w:pPr>
            <w:r>
              <w:rPr>
                <w:b w:val="false"/>
                <w:bCs w:val="false"/>
              </w:rPr>
              <w:t xml:space="preserve">1</w:t>
            </w:r>
          </w:p>
        </w:tc>
      </w:tr>
    </w:tbl>
    <w:p>
      <w:pPr>
        <w:pStyle w:val="Heading1"/>
        <w:spacing w:after="160" w:before="320"/>
      </w:pPr>
      <w:r>
        <w:rPr>
          <w:b/>
          <w:bCs/>
          <w:sz w:val="28"/>
          <w:szCs w:val="28"/>
        </w:rPr>
        <w:t xml:space="preserve">5.  Candidate Reconciliation Approaches</w:t>
      </w:r>
    </w:p>
    <w:p>
      <w:pPr>
        <w:spacing w:after="160"/>
      </w:pPr>
      <w:r>
        <w:rPr>
          <w:i/>
          <w:iCs/>
        </w:rPr>
        <w:t xml:space="preserve">For future evaluation only. None selected; no approach is recommended by this ADR.</w:t>
      </w:r>
    </w:p>
    <w:p>
      <w:pPr>
        <w:pStyle w:val="ListParagraph"/>
        <w:numPr>
          <w:ilvl w:val="0"/>
          <w:numId w:val="1"/>
        </w:numPr>
        <w:spacing w:after="80"/>
      </w:pPr>
      <w:r>
        <w:t xml:space="preserve">Consolidate to one store: export every “Mac Mini” ADR into the local .docx template and treat ~/openclaw as the sole authoritative ADR store going forward.</w:t>
      </w:r>
    </w:p>
    <w:p>
      <w:pPr>
        <w:pStyle w:val="ListParagraph"/>
        <w:numPr>
          <w:ilvl w:val="0"/>
          <w:numId w:val="1"/>
        </w:numPr>
        <w:spacing w:after="80"/>
      </w:pPr>
      <w:r>
        <w:t xml:space="preserve">Deliberate split with an index: keep both systems, but maintain one cross-reference index (e.g. ADR_INDEX.md) mapping every ADR number to its authoritative location, status, and a one-line summary.</w:t>
      </w:r>
    </w:p>
    <w:p>
      <w:pPr>
        <w:pStyle w:val="ListParagraph"/>
        <w:numPr>
          <w:ilvl w:val="0"/>
          <w:numId w:val="1"/>
        </w:numPr>
        <w:spacing w:after="80"/>
      </w:pPr>
      <w:r>
        <w:t xml:space="preserve">Reverse consolidation: move the local ADR-031+ .docx set into “Mac Mini” Project knowledge instead.</w:t>
      </w:r>
    </w:p>
    <w:p>
      <w:pPr>
        <w:pStyle w:val="ListParagraph"/>
        <w:numPr>
          <w:ilvl w:val="0"/>
          <w:numId w:val="1"/>
        </w:numPr>
        <w:spacing w:after="80"/>
      </w:pPr>
      <w:r>
        <w:t xml:space="preserve">Status quo — accept the fragmentation as-is. Listed for completeness only; not recommended, given that ADR-014 materially constrains what an agent may do on this machine and is currently unverifiable from within the Claude Code session it governs.</w:t>
      </w:r>
    </w:p>
    <w:p>
      <w:pPr>
        <w:pStyle w:val="Heading1"/>
        <w:spacing w:after="160" w:before="320"/>
      </w:pPr>
      <w:r>
        <w:rPr>
          <w:b/>
          <w:bCs/>
          <w:sz w:val="28"/>
          <w:szCs w:val="28"/>
        </w:rPr>
        <w:t xml:space="preserve">6.  Evaluation Criteria (once triggered)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50"/>
      </w:tblGrid>
      <w:tr>
        <w:tc>
          <w:tcPr>
            <w:tcW w:type="dxa" w:w="2600"/>
            <w:shd w:fill="E7E6E6" w:val="clear"/>
            <w:tcMar>
              <w:top w:type="dxa" w:w="100"/>
              <w:left w:type="dxa" w:w="120"/>
              <w:bottom w:type="dxa" w:w="100"/>
              <w:right w:type="dxa" w:w="120"/>
            </w:tcMar>
          </w:tcPr>
          <w:p>
            <w:pPr>
              <w:jc w:val="left"/>
            </w:pPr>
            <w:r>
              <w:rPr>
                <w:b/>
                <w:bCs/>
              </w:rPr>
              <w:t xml:space="preserve">Criterion</w:t>
            </w:r>
          </w:p>
        </w:tc>
        <w:tc>
          <w:tcPr>
            <w:tcW w:type="dxa" w:w="1400"/>
            <w:shd w:fill="E7E6E6" w:val="clear"/>
            <w:tcMar>
              <w:top w:type="dxa" w:w="100"/>
              <w:left w:type="dxa" w:w="120"/>
              <w:bottom w:type="dxa" w:w="100"/>
              <w:right w:type="dxa" w:w="120"/>
            </w:tcMar>
          </w:tcPr>
          <w:p>
            <w:pPr>
              <w:jc w:val="left"/>
            </w:pPr>
            <w:r>
              <w:rPr>
                <w:b/>
                <w:bCs/>
              </w:rPr>
              <w:t xml:space="preserve">Type</w:t>
            </w:r>
          </w:p>
        </w:tc>
        <w:tc>
          <w:tcPr>
            <w:tcW w:type="dxa" w:w="5350"/>
            <w:shd w:fill="E7E6E6" w:val="clear"/>
            <w:tcMar>
              <w:top w:type="dxa" w:w="100"/>
              <w:left w:type="dxa" w:w="120"/>
              <w:bottom w:type="dxa" w:w="100"/>
              <w:right w:type="dxa" w:w="120"/>
            </w:tcMar>
          </w:tcPr>
          <w:p>
            <w:pPr>
              <w:jc w:val="left"/>
            </w:pPr>
            <w:r>
              <w:rPr>
                <w:b/>
                <w:bCs/>
              </w:rPr>
              <w:t xml:space="preserve">Detail</w:t>
            </w:r>
          </w:p>
        </w:tc>
      </w:tr>
      <w:tr>
        <w:tc>
          <w:tcPr>
            <w:tcW w:type="dxa" w:w="2600"/>
            <w:tcMar>
              <w:top w:type="dxa" w:w="100"/>
              <w:left w:type="dxa" w:w="120"/>
              <w:bottom w:type="dxa" w:w="100"/>
              <w:right w:type="dxa" w:w="120"/>
            </w:tcMar>
          </w:tcPr>
          <w:p>
            <w:pPr>
              <w:jc w:val="left"/>
            </w:pPr>
            <w:r>
              <w:rPr>
                <w:b w:val="false"/>
                <w:bCs w:val="false"/>
              </w:rPr>
              <w:t xml:space="preserve">Completeness</w:t>
            </w:r>
          </w:p>
        </w:tc>
        <w:tc>
          <w:tcPr>
            <w:tcW w:type="dxa" w:w="1400"/>
            <w:tcMar>
              <w:top w:type="dxa" w:w="100"/>
              <w:left w:type="dxa" w:w="120"/>
              <w:bottom w:type="dxa" w:w="100"/>
              <w:right w:type="dxa" w:w="120"/>
            </w:tcMar>
          </w:tcPr>
          <w:p>
            <w:pPr>
              <w:jc w:val="left"/>
            </w:pPr>
            <w:r>
              <w:rPr>
                <w:b w:val="false"/>
                <w:bCs w:val="false"/>
              </w:rPr>
              <w:t xml:space="preserve">HARD</w:t>
            </w:r>
          </w:p>
        </w:tc>
        <w:tc>
          <w:tcPr>
            <w:tcW w:type="dxa" w:w="5350"/>
            <w:tcMar>
              <w:top w:type="dxa" w:w="100"/>
              <w:left w:type="dxa" w:w="120"/>
              <w:bottom w:type="dxa" w:w="100"/>
              <w:right w:type="dxa" w:w="120"/>
            </w:tcMar>
          </w:tcPr>
          <w:p>
            <w:pPr>
              <w:jc w:val="left"/>
            </w:pPr>
            <w:r>
              <w:rPr>
                <w:b w:val="false"/>
                <w:bCs w:val="false"/>
              </w:rPr>
              <w:t xml:space="preserve">Every ADR-NNN citation anywhere in code, changelog, or state docs resolves to exactly one authoritative document.</w:t>
            </w:r>
          </w:p>
        </w:tc>
      </w:tr>
      <w:tr>
        <w:tc>
          <w:tcPr>
            <w:tcW w:type="dxa" w:w="2600"/>
            <w:tcMar>
              <w:top w:type="dxa" w:w="100"/>
              <w:left w:type="dxa" w:w="120"/>
              <w:bottom w:type="dxa" w:w="100"/>
              <w:right w:type="dxa" w:w="120"/>
            </w:tcMar>
          </w:tcPr>
          <w:p>
            <w:pPr>
              <w:jc w:val="left"/>
            </w:pPr>
            <w:r>
              <w:rPr>
                <w:b w:val="false"/>
                <w:bCs w:val="false"/>
              </w:rPr>
              <w:t xml:space="preserve">Single source of truth</w:t>
            </w:r>
          </w:p>
        </w:tc>
        <w:tc>
          <w:tcPr>
            <w:tcW w:type="dxa" w:w="1400"/>
            <w:tcMar>
              <w:top w:type="dxa" w:w="100"/>
              <w:left w:type="dxa" w:w="120"/>
              <w:bottom w:type="dxa" w:w="100"/>
              <w:right w:type="dxa" w:w="120"/>
            </w:tcMar>
          </w:tcPr>
          <w:p>
            <w:pPr>
              <w:jc w:val="left"/>
            </w:pPr>
            <w:r>
              <w:rPr>
                <w:b w:val="false"/>
                <w:bCs w:val="false"/>
              </w:rPr>
              <w:t xml:space="preserve">HARD</w:t>
            </w:r>
          </w:p>
        </w:tc>
        <w:tc>
          <w:tcPr>
            <w:tcW w:type="dxa" w:w="5350"/>
            <w:tcMar>
              <w:top w:type="dxa" w:w="100"/>
              <w:left w:type="dxa" w:w="120"/>
              <w:bottom w:type="dxa" w:w="100"/>
              <w:right w:type="dxa" w:w="120"/>
            </w:tcMar>
          </w:tcPr>
          <w:p>
            <w:pPr>
              <w:jc w:val="left"/>
            </w:pPr>
            <w:r>
              <w:rPr>
                <w:b w:val="false"/>
                <w:bCs w:val="false"/>
              </w:rPr>
              <w:t xml:space="preserve">No ADR number has content in two places that could diverge silently.</w:t>
            </w:r>
          </w:p>
        </w:tc>
      </w:tr>
      <w:tr>
        <w:tc>
          <w:tcPr>
            <w:tcW w:type="dxa" w:w="2600"/>
            <w:tcMar>
              <w:top w:type="dxa" w:w="100"/>
              <w:left w:type="dxa" w:w="120"/>
              <w:bottom w:type="dxa" w:w="100"/>
              <w:right w:type="dxa" w:w="120"/>
            </w:tcMar>
          </w:tcPr>
          <w:p>
            <w:pPr>
              <w:jc w:val="left"/>
            </w:pPr>
            <w:r>
              <w:rPr>
                <w:b w:val="false"/>
                <w:bCs w:val="false"/>
              </w:rPr>
              <w:t xml:space="preserve">Accessibility from Claude Code</w:t>
            </w:r>
          </w:p>
        </w:tc>
        <w:tc>
          <w:tcPr>
            <w:tcW w:type="dxa" w:w="1400"/>
            <w:tcMar>
              <w:top w:type="dxa" w:w="100"/>
              <w:left w:type="dxa" w:w="120"/>
              <w:bottom w:type="dxa" w:w="100"/>
              <w:right w:type="dxa" w:w="120"/>
            </w:tcMar>
          </w:tcPr>
          <w:p>
            <w:pPr>
              <w:jc w:val="left"/>
            </w:pPr>
            <w:r>
              <w:rPr>
                <w:b w:val="false"/>
                <w:bCs w:val="false"/>
              </w:rPr>
              <w:t xml:space="preserve">HARD</w:t>
            </w:r>
          </w:p>
        </w:tc>
        <w:tc>
          <w:tcPr>
            <w:tcW w:type="dxa" w:w="5350"/>
            <w:tcMar>
              <w:top w:type="dxa" w:w="100"/>
              <w:left w:type="dxa" w:w="120"/>
              <w:bottom w:type="dxa" w:w="100"/>
              <w:right w:type="dxa" w:w="120"/>
            </w:tcMar>
          </w:tcPr>
          <w:p>
            <w:pPr>
              <w:jc w:val="left"/>
            </w:pPr>
            <w:r>
              <w:rPr>
                <w:b w:val="false"/>
                <w:bCs w:val="false"/>
              </w:rPr>
              <w:t xml:space="preserve">The final store must be readable by a Claude Code session operating under ADR-014's ~/openclaw scoping. A Claude.ai-only Project fails this criterion for any ADR that governs agent behavior.</w:t>
            </w:r>
          </w:p>
        </w:tc>
      </w:tr>
      <w:tr>
        <w:tc>
          <w:tcPr>
            <w:tcW w:type="dxa" w:w="2600"/>
            <w:tcMar>
              <w:top w:type="dxa" w:w="100"/>
              <w:left w:type="dxa" w:w="120"/>
              <w:bottom w:type="dxa" w:w="100"/>
              <w:right w:type="dxa" w:w="120"/>
            </w:tcMar>
          </w:tcPr>
          <w:p>
            <w:pPr>
              <w:jc w:val="left"/>
            </w:pPr>
            <w:r>
              <w:rPr>
                <w:b w:val="false"/>
                <w:bCs w:val="false"/>
              </w:rPr>
              <w:t xml:space="preserve">Orphan resolution</w:t>
            </w:r>
          </w:p>
        </w:tc>
        <w:tc>
          <w:tcPr>
            <w:tcW w:type="dxa" w:w="1400"/>
            <w:tcMar>
              <w:top w:type="dxa" w:w="100"/>
              <w:left w:type="dxa" w:w="120"/>
              <w:bottom w:type="dxa" w:w="100"/>
              <w:right w:type="dxa" w:w="120"/>
            </w:tcMar>
          </w:tcPr>
          <w:p>
            <w:pPr>
              <w:jc w:val="left"/>
            </w:pPr>
            <w:r>
              <w:rPr>
                <w:b w:val="false"/>
                <w:bCs w:val="false"/>
              </w:rPr>
              <w:t xml:space="preserve">Medium</w:t>
            </w:r>
          </w:p>
        </w:tc>
        <w:tc>
          <w:tcPr>
            <w:tcW w:type="dxa" w:w="5350"/>
            <w:tcMar>
              <w:top w:type="dxa" w:w="100"/>
              <w:left w:type="dxa" w:w="120"/>
              <w:bottom w:type="dxa" w:w="100"/>
              <w:right w:type="dxa" w:w="120"/>
            </w:tcMar>
          </w:tcPr>
          <w:p>
            <w:pPr>
              <w:jc w:val="left"/>
            </w:pPr>
            <w:r>
              <w:rPr>
                <w:b w:val="false"/>
                <w:bCs w:val="false"/>
              </w:rPr>
              <w:t xml:space="preserve">ADR-036 status confirmed (active / superseded / withdrawn) and recorded.</w:t>
            </w:r>
          </w:p>
        </w:tc>
      </w:tr>
      <w:tr>
        <w:tc>
          <w:tcPr>
            <w:tcW w:type="dxa" w:w="2600"/>
            <w:tcMar>
              <w:top w:type="dxa" w:w="100"/>
              <w:left w:type="dxa" w:w="120"/>
              <w:bottom w:type="dxa" w:w="100"/>
              <w:right w:type="dxa" w:w="120"/>
            </w:tcMar>
          </w:tcPr>
          <w:p>
            <w:pPr>
              <w:jc w:val="left"/>
            </w:pPr>
            <w:r>
              <w:rPr>
                <w:b w:val="false"/>
                <w:bCs w:val="false"/>
              </w:rPr>
              <w:t xml:space="preserve">Gap resolution</w:t>
            </w:r>
          </w:p>
        </w:tc>
        <w:tc>
          <w:tcPr>
            <w:tcW w:type="dxa" w:w="1400"/>
            <w:tcMar>
              <w:top w:type="dxa" w:w="100"/>
              <w:left w:type="dxa" w:w="120"/>
              <w:bottom w:type="dxa" w:w="100"/>
              <w:right w:type="dxa" w:w="120"/>
            </w:tcMar>
          </w:tcPr>
          <w:p>
            <w:pPr>
              <w:jc w:val="left"/>
            </w:pPr>
            <w:r>
              <w:rPr>
                <w:b w:val="false"/>
                <w:bCs w:val="false"/>
              </w:rPr>
              <w:t xml:space="preserve">Low</w:t>
            </w:r>
          </w:p>
        </w:tc>
        <w:tc>
          <w:tcPr>
            <w:tcW w:type="dxa" w:w="5350"/>
            <w:tcMar>
              <w:top w:type="dxa" w:w="100"/>
              <w:left w:type="dxa" w:w="120"/>
              <w:bottom w:type="dxa" w:w="100"/>
              <w:right w:type="dxa" w:w="120"/>
            </w:tcMar>
          </w:tcPr>
          <w:p>
            <w:pPr>
              <w:jc w:val="left"/>
            </w:pPr>
            <w:r>
              <w:rPr>
                <w:b w:val="false"/>
                <w:bCs w:val="false"/>
              </w:rPr>
              <w:t xml:space="preserve">ADR-032 confirmed as either intentionally skipped or a never-filed / lost ADR.</w:t>
            </w:r>
          </w:p>
        </w:tc>
      </w:tr>
      <w:tr>
        <w:tc>
          <w:tcPr>
            <w:tcW w:type="dxa" w:w="2600"/>
            <w:tcMar>
              <w:top w:type="dxa" w:w="100"/>
              <w:left w:type="dxa" w:w="120"/>
              <w:bottom w:type="dxa" w:w="100"/>
              <w:right w:type="dxa" w:w="120"/>
            </w:tcMar>
          </w:tcPr>
          <w:p>
            <w:pPr>
              <w:jc w:val="left"/>
            </w:pPr>
            <w:r>
              <w:rPr>
                <w:b w:val="false"/>
                <w:bCs w:val="false"/>
              </w:rPr>
              <w:t xml:space="preserve">Preservation of history</w:t>
            </w:r>
          </w:p>
        </w:tc>
        <w:tc>
          <w:tcPr>
            <w:tcW w:type="dxa" w:w="1400"/>
            <w:tcMar>
              <w:top w:type="dxa" w:w="100"/>
              <w:left w:type="dxa" w:w="120"/>
              <w:bottom w:type="dxa" w:w="100"/>
              <w:right w:type="dxa" w:w="120"/>
            </w:tcMar>
          </w:tcPr>
          <w:p>
            <w:pPr>
              <w:jc w:val="left"/>
            </w:pPr>
            <w:r>
              <w:rPr>
                <w:b w:val="false"/>
                <w:bCs w:val="false"/>
              </w:rPr>
              <w:t xml:space="preserve">Medium</w:t>
            </w:r>
          </w:p>
        </w:tc>
        <w:tc>
          <w:tcPr>
            <w:tcW w:type="dxa" w:w="5350"/>
            <w:tcMar>
              <w:top w:type="dxa" w:w="100"/>
              <w:left w:type="dxa" w:w="120"/>
              <w:bottom w:type="dxa" w:w="100"/>
              <w:right w:type="dxa" w:w="120"/>
            </w:tcMar>
          </w:tcPr>
          <w:p>
            <w:pPr>
              <w:jc w:val="left"/>
            </w:pPr>
            <w:r>
              <w:rPr>
                <w:b w:val="false"/>
                <w:bCs w:val="false"/>
              </w:rPr>
              <w:t xml:space="preserve">No loss of the months of work already invested in the existing ADR corpus. Reconciliation must be additive/migratory, never destructive.</w:t>
            </w:r>
          </w:p>
        </w:tc>
      </w:tr>
    </w:tbl>
    <w:p>
      <w:pPr>
        <w:pStyle w:val="Heading1"/>
        <w:spacing w:after="160" w:before="320"/>
      </w:pPr>
      <w:r>
        <w:rPr>
          <w:b/>
          <w:bCs/>
          <w:sz w:val="28"/>
          <w:szCs w:val="28"/>
        </w:rPr>
        <w:t xml:space="preserve">7.  Open Items</w:t>
      </w:r>
    </w:p>
    <w:p>
      <w:pPr>
        <w:pStyle w:val="ListParagraph"/>
        <w:numPr>
          <w:ilvl w:val="0"/>
          <w:numId w:val="1"/>
        </w:numPr>
        <w:spacing w:after="80"/>
      </w:pPr>
      <w:r>
        <w:t xml:space="preserve">Obtain read access to (or an export of) “Mac Mini”'s full ADR contents — required before any reconciliation work can start.</w:t>
      </w:r>
    </w:p>
    <w:p>
      <w:pPr>
        <w:pStyle w:val="ListParagraph"/>
        <w:numPr>
          <w:ilvl w:val="0"/>
          <w:numId w:val="1"/>
        </w:numPr>
        <w:spacing w:after="80"/>
      </w:pPr>
      <w:r>
        <w:t xml:space="preserve">Confirm the true range of ADR numbers held in “Mac Mini” — the twelve found by this session's grep are a floor, not a ceiling; unreferenced ADRs there are currently invisible to this inventory.</w:t>
      </w:r>
    </w:p>
    <w:p>
      <w:pPr>
        <w:pStyle w:val="ListParagraph"/>
        <w:numPr>
          <w:ilvl w:val="0"/>
          <w:numId w:val="1"/>
        </w:numPr>
        <w:spacing w:after="80"/>
      </w:pPr>
      <w:r>
        <w:t xml:space="preserve">Resolve ADR-036 orphan status.</w:t>
      </w:r>
    </w:p>
    <w:p>
      <w:pPr>
        <w:pStyle w:val="ListParagraph"/>
        <w:numPr>
          <w:ilvl w:val="0"/>
          <w:numId w:val="1"/>
        </w:numPr>
        <w:spacing w:after="80"/>
      </w:pPr>
      <w:r>
        <w:t xml:space="preserve">Resolve ADR-032 gap.</w:t>
      </w:r>
    </w:p>
    <w:p>
      <w:pPr>
        <w:pStyle w:val="ListParagraph"/>
        <w:numPr>
          <w:ilvl w:val="0"/>
          <w:numId w:val="1"/>
        </w:numPr>
        <w:spacing w:after="80"/>
      </w:pPr>
      <w:r>
        <w:t xml:space="preserve">Once “Mac Mini” content is available, re-run this inventory and update Section 4.</w:t>
      </w:r>
    </w:p>
    <w:p>
      <w:pPr>
        <w:pStyle w:val="Heading1"/>
        <w:spacing w:after="160" w:before="320"/>
      </w:pPr>
      <w:r>
        <w:rPr>
          <w:b/>
          <w:bCs/>
          <w:sz w:val="28"/>
          <w:szCs w:val="28"/>
        </w:rPr>
        <w:t xml:space="preserve">8.  Closure Procedure</w:t>
      </w:r>
    </w:p>
    <w:p>
      <w:pPr>
        <w:spacing w:after="160"/>
      </w:pPr>
      <w:r>
        <w:rPr>
          <w:i w:val="false"/>
          <w:iCs w:val="false"/>
        </w:rPr>
        <w:t xml:space="preserve">ADR-042 closes when one of the following occurs:</w:t>
      </w:r>
    </w:p>
    <w:p>
      <w:pPr>
        <w:pStyle w:val="ListParagraph"/>
        <w:numPr>
          <w:ilvl w:val="0"/>
          <w:numId w:val="1"/>
        </w:numPr>
        <w:spacing w:after="80"/>
      </w:pPr>
      <w:r>
        <w:t xml:space="preserve">Full reconciliation is completed under one of the Section 5 approaches, a corresponding changelog entry is filed, and status moves to DECIDED with the approach and rationale recorded.</w:t>
      </w:r>
    </w:p>
    <w:p>
      <w:pPr>
        <w:pStyle w:val="ListParagraph"/>
        <w:numPr>
          <w:ilvl w:val="0"/>
          <w:numId w:val="1"/>
        </w:numPr>
        <w:spacing w:after="80"/>
      </w:pPr>
      <w:r>
        <w:t xml:space="preserve">Sheldon explicitly accepts the current fragmentation as a documented, permanent design (e.g. “Mac Mini” is intentionally the archival/rationale layer and ~/openclaw is intentionally the operative layer) — status moves to DECIDED with that rationale recorded.</w:t>
      </w:r>
    </w:p>
    <w:p>
      <w:pPr>
        <w:pStyle w:val="ListParagraph"/>
        <w:numPr>
          <w:ilvl w:val="0"/>
          <w:numId w:val="1"/>
        </w:numPr>
        <w:spacing w:after="80"/>
      </w:pPr>
      <w:r>
        <w:t xml:space="preserve">Superseded by a different governance restructuring — status moves to WITHDRAWN with a reference to its replacement.</w:t>
      </w:r>
    </w:p>
    <w:p>
      <w:pPr>
        <w:pStyle w:val="Heading1"/>
        <w:spacing w:after="160" w:before="320"/>
      </w:pPr>
      <w:r>
        <w:rPr>
          <w:b/>
          <w:bCs/>
          <w:sz w:val="28"/>
          <w:szCs w:val="28"/>
        </w:rPr>
        <w:t xml:space="preserve">9.  Amendment Log</w:t>
      </w:r>
    </w:p>
    <w:p>
      <w:pPr>
        <w:spacing w:after="160"/>
      </w:pPr>
      <w:r>
        <w:rPr>
          <w:i w:val="false"/>
          <w:iCs w:val="false"/>
        </w:rPr>
        <w:t xml:space="preserve">2026-08-23 — Corrected project-name misattribution. This ADR's Problem Statement originally stated the missing lower-numbered ADRs were authored in a Claude.ai Project named “AI Build.” That attribution was incorrect.</w:t>
      </w:r>
    </w:p>
    <w:p>
      <w:pPr>
        <w:spacing w:after="160"/>
      </w:pPr>
      <w:r>
        <w:rPr>
          <w:i w:val="false"/>
          <w:iCs w:val="false"/>
        </w:rPr>
        <w:t xml:space="preserve">This session captured “AI Build” directly (operator-saved complete page export, 2026-08-23) and found it to be an unrelated, dormant, pre-prototype project — a different multi-tenant SaaS concept for SNAP compliance decision support, last updated March 27, 2026, with only three knowledge-base files, none ADR-NNN numbered, and explicitly “no code written yet.”</w:t>
      </w:r>
    </w:p>
    <w:p>
      <w:pPr>
        <w:spacing w:after="160"/>
      </w:pPr>
      <w:r>
        <w:rPr>
          <w:i w:val="false"/>
          <w:iCs w:val="false"/>
        </w:rPr>
        <w:t xml:space="preserve">The project that actually matches this repository — same product, same federal_policy_brief pipeline, same ADR-001 through ADR-042 numbering, updated 8 hours before this correction was made — is the “Mac Mini” Claude.ai Project. Every reference to “AI Build” in this document has been corrected to “Mac Mini” accordingly. No other content in this ADR — the inventory, counts, candidate approaches, or evaluation criteria — was changed by this amendment.</w:t>
      </w:r>
    </w:p>
    <w:p>
      <w:pPr>
        <w:spacing w:after="160"/>
      </w:pPr>
      <w:r>
        <w:rPr>
          <w:i w:val="false"/>
          <w:iCs w:val="false"/>
        </w:rPr>
        <w:t xml:space="preserve">Full supporting evidence: ADR_Corpus_Inventory_2026-08-23.xlsx and ADR_Reconciliation_Plan_2026-08-23.docx, both in adr_fragments_2026-08-22/reconciliation_2026-08-23/.</w:t>
      </w:r>
    </w:p>
    <w:p>
      <w:pPr>
        <w:pBdr>
          <w:top w:val="single" w:color="999999" w:sz="6"/>
        </w:pBdr>
        <w:spacing w:before="480"/>
      </w:pPr>
      <w:r>
        <w:t xml:space="preserve"/>
      </w:r>
    </w:p>
    <w:p>
      <w:pPr>
        <w:spacing w:before="160"/>
        <w:jc w:val="center"/>
      </w:pPr>
      <w:r>
        <w:rPr>
          <w:sz w:val="18"/>
          <w:szCs w:val="18"/>
        </w:rPr>
        <w:t xml:space="preserve">Sheldon Wheeler — OpenClaw Personal Stack</w:t>
      </w:r>
    </w:p>
    <w:p>
      <w:pPr>
        <w:jc w:val="center"/>
      </w:pPr>
      <w:r>
        <w:rPr>
          <w:i/>
          <w:iCs/>
          <w:sz w:val="18"/>
          <w:szCs w:val="18"/>
        </w:rPr>
        <w:t xml:space="preserve">ADR-042 v1.1 — Drafted August 22, 2026 — Amended August 23, 2026 — Status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2026-08-22T20:49:09.357Z</dcterms:created>
  <dcterms:modified xsi:type="dcterms:W3CDTF">2026-08-22T20:49:09.358Z</dcterms:modified>
</cp:coreProperties>
</file>

<file path=docProps/custom.xml><?xml version="1.0" encoding="utf-8"?>
<Properties xmlns="http://schemas.openxmlformats.org/officeDocument/2006/custom-properties" xmlns:vt="http://schemas.openxmlformats.org/officeDocument/2006/docPropsVTypes"/>
</file>