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1F3864"/>
          <w:sz w:val="32"/>
          <w:szCs w:val="32"/>
        </w:rPr>
        <w:t xml:space="preserve">ADR-043</w:t>
      </w:r>
    </w:p>
    <w:p>
      <w:pPr>
        <w:spacing w:after="60"/>
      </w:pPr>
      <w:r>
        <w:rPr>
          <w:rFonts w:ascii="Calibri" w:cs="Calibri" w:eastAsia="Calibri" w:hAnsi="Calibri"/>
          <w:b/>
          <w:bCs/>
          <w:sz w:val="26"/>
          <w:szCs w:val="26"/>
        </w:rPr>
        <w:t xml:space="preserve">Production Host Platform — Retain MacBook Air; No Dedicated Hardware Purchase</w:t>
      </w:r>
    </w:p>
    <w:p>
      <w:pPr>
        <w:pBdr>
          <w:bottom w:val="single" w:color="1F3864" w:sz="6" w:space="8"/>
        </w:pBdr>
        <w:spacing w:after="200"/>
      </w:pPr>
      <w:r>
        <w:rPr>
          <w:rFonts w:ascii="Calibri" w:cs="Calibri" w:eastAsia="Calibri" w:hAnsi="Calibri"/>
          <w:color w:val="555555"/>
          <w:sz w:val="20"/>
          <w:szCs w:val="20"/>
        </w:rPr>
        <w:t xml:space="preserve">OpenClaw — Phase 1    |    Decided September 20, 2026    |    Status DECIDED</w:t>
      </w:r>
    </w:p>
    <w:p>
      <w:pPr>
        <w:pStyle w:val="Heading1"/>
        <w:spacing w:after="140" w:before="280"/>
      </w:pPr>
      <w:r>
        <w:rPr>
          <w:rFonts w:ascii="Calibri" w:cs="Calibri" w:eastAsia="Calibri" w:hAnsi="Calibri"/>
          <w:b/>
          <w:bCs/>
          <w:color w:val="1F3864"/>
          <w:sz w:val="26"/>
          <w:szCs w:val="26"/>
        </w:rPr>
        <w:t xml:space="preserve">1.  Decision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shd w:fill="F2F2F2" w:val="clear"/>
            <w:tcMar>
              <w:top w:type="dxa" w:w="80"/>
              <w:left w:type="dxa" w:w="120"/>
              <w:bottom w:type="dxa" w:w="80"/>
              <w:right w:type="dxa" w:w="120"/>
            </w:tcMar>
          </w:tcPr>
          <w:p>
            <w:r>
              <w:rPr>
                <w:rFonts w:ascii="Calibri" w:cs="Calibri" w:eastAsia="Calibri" w:hAnsi="Calibri"/>
                <w:b/>
                <w:bCs/>
                <w:sz w:val="20"/>
                <w:szCs w:val="20"/>
              </w:rPr>
              <w:t xml:space="preserve">ADR Number</w:t>
            </w:r>
          </w:p>
        </w:tc>
        <w:tc>
          <w:tcPr>
            <w:tcW w:type="dxa" w:w="6660"/>
            <w:tcMar>
              <w:top w:type="dxa" w:w="80"/>
              <w:left w:type="dxa" w:w="120"/>
              <w:bottom w:type="dxa" w:w="80"/>
              <w:right w:type="dxa" w:w="120"/>
            </w:tcMar>
          </w:tcPr>
          <w:p>
            <w:r>
              <w:rPr>
                <w:rFonts w:ascii="Calibri" w:cs="Calibri" w:eastAsia="Calibri" w:hAnsi="Calibri"/>
                <w:sz w:val="20"/>
                <w:szCs w:val="20"/>
              </w:rPr>
              <w:t xml:space="preserve">ADR-043</w:t>
            </w:r>
          </w:p>
        </w:tc>
      </w:tr>
      <w:tr>
        <w:tc>
          <w:tcPr>
            <w:tcW w:type="dxa" w:w="2700"/>
            <w:shd w:fill="F2F2F2" w:val="clear"/>
            <w:tcMar>
              <w:top w:type="dxa" w:w="80"/>
              <w:left w:type="dxa" w:w="120"/>
              <w:bottom w:type="dxa" w:w="80"/>
              <w:right w:type="dxa" w:w="120"/>
            </w:tcMar>
          </w:tcPr>
          <w:p>
            <w:r>
              <w:rPr>
                <w:rFonts w:ascii="Calibri" w:cs="Calibri" w:eastAsia="Calibri" w:hAnsi="Calibri"/>
                <w:b/>
                <w:bCs/>
                <w:sz w:val="20"/>
                <w:szCs w:val="20"/>
              </w:rPr>
              <w:t xml:space="preserve">Title</w:t>
            </w:r>
          </w:p>
        </w:tc>
        <w:tc>
          <w:tcPr>
            <w:tcW w:type="dxa" w:w="6660"/>
            <w:tcMar>
              <w:top w:type="dxa" w:w="80"/>
              <w:left w:type="dxa" w:w="120"/>
              <w:bottom w:type="dxa" w:w="80"/>
              <w:right w:type="dxa" w:w="120"/>
            </w:tcMar>
          </w:tcPr>
          <w:p>
            <w:r>
              <w:rPr>
                <w:rFonts w:ascii="Calibri" w:cs="Calibri" w:eastAsia="Calibri" w:hAnsi="Calibri"/>
                <w:sz w:val="20"/>
                <w:szCs w:val="20"/>
              </w:rPr>
              <w:t xml:space="preserve">Production Host Platform — Retain MacBook Air; No Dedicated Hardware Purchase</w:t>
            </w:r>
          </w:p>
        </w:tc>
      </w:tr>
      <w:tr>
        <w:tc>
          <w:tcPr>
            <w:tcW w:type="dxa" w:w="2700"/>
            <w:shd w:fill="F2F2F2" w:val="clear"/>
            <w:tcMar>
              <w:top w:type="dxa" w:w="80"/>
              <w:left w:type="dxa" w:w="120"/>
              <w:bottom w:type="dxa" w:w="80"/>
              <w:right w:type="dxa" w:w="120"/>
            </w:tcMar>
          </w:tcPr>
          <w:p>
            <w:r>
              <w:rPr>
                <w:rFonts w:ascii="Calibri" w:cs="Calibri" w:eastAsia="Calibri" w:hAnsi="Calibri"/>
                <w:b/>
                <w:bCs/>
                <w:sz w:val="20"/>
                <w:szCs w:val="20"/>
              </w:rPr>
              <w:t xml:space="preserve">Status</w:t>
            </w:r>
          </w:p>
        </w:tc>
        <w:tc>
          <w:tcPr>
            <w:tcW w:type="dxa" w:w="6660"/>
            <w:tcMar>
              <w:top w:type="dxa" w:w="80"/>
              <w:left w:type="dxa" w:w="120"/>
              <w:bottom w:type="dxa" w:w="80"/>
              <w:right w:type="dxa" w:w="120"/>
            </w:tcMar>
          </w:tcPr>
          <w:p>
            <w:r>
              <w:rPr>
                <w:rFonts w:ascii="Calibri" w:cs="Calibri" w:eastAsia="Calibri" w:hAnsi="Calibri"/>
                <w:sz w:val="20"/>
                <w:szCs w:val="20"/>
              </w:rPr>
              <w:t xml:space="preserve">DECIDED — September 20, 2026. Supersedes all prior informal records of a 'target production machine'.</w:t>
            </w:r>
            <w:r>
              <w:rPr>
                <w:rFonts w:ascii="Calibri" w:cs="Calibri" w:eastAsia="Calibri" w:hAnsi="Calibri"/>
                <w:sz w:val="20"/>
                <w:szCs w:val="20"/>
              </w:rPr>
              <w:t xml:space="preserve"> AMENDED September 29, 2026 by ADR-047 §7 and §12 (marked in place September 30, 2026): the Section 7 VPS migration of the public pipeline is not being pursued — no VPS exists, and the four containers remain on this host under the ADR-047 §3 memory budget. Correction: a Claude Pro subscription does not include API usage; the API is billed separately. The Section 10 local model refresh was carried out by ADR-047 §4 and §14.</w:t>
            </w:r>
          </w:p>
        </w:tc>
      </w:tr>
      <w:tr>
        <w:tc>
          <w:tcPr>
            <w:tcW w:type="dxa" w:w="2700"/>
            <w:shd w:fill="F2F2F2" w:val="clear"/>
            <w:tcMar>
              <w:top w:type="dxa" w:w="80"/>
              <w:left w:type="dxa" w:w="120"/>
              <w:bottom w:type="dxa" w:w="80"/>
              <w:right w:type="dxa" w:w="120"/>
            </w:tcMar>
          </w:tcPr>
          <w:p>
            <w:r>
              <w:rPr>
                <w:rFonts w:ascii="Calibri" w:cs="Calibri" w:eastAsia="Calibri" w:hAnsi="Calibri"/>
                <w:b/>
                <w:bCs/>
                <w:sz w:val="20"/>
                <w:szCs w:val="20"/>
              </w:rPr>
              <w:t xml:space="preserve">Deciders</w:t>
            </w:r>
          </w:p>
        </w:tc>
        <w:tc>
          <w:tcPr>
            <w:tcW w:type="dxa" w:w="6660"/>
            <w:tcMar>
              <w:top w:type="dxa" w:w="80"/>
              <w:left w:type="dxa" w:w="120"/>
              <w:bottom w:type="dxa" w:w="80"/>
              <w:right w:type="dxa" w:w="120"/>
            </w:tcMar>
          </w:tcPr>
          <w:p>
            <w:r>
              <w:rPr>
                <w:rFonts w:ascii="Calibri" w:cs="Calibri" w:eastAsia="Calibri" w:hAnsi="Calibri"/>
                <w:sz w:val="20"/>
                <w:szCs w:val="20"/>
              </w:rPr>
              <w:t xml:space="preserve">Sheldon Wheeler (owner, sole operator)</w:t>
            </w:r>
          </w:p>
        </w:tc>
      </w:tr>
      <w:tr>
        <w:tc>
          <w:tcPr>
            <w:tcW w:type="dxa" w:w="2700"/>
            <w:shd w:fill="F2F2F2" w:val="clear"/>
            <w:tcMar>
              <w:top w:type="dxa" w:w="80"/>
              <w:left w:type="dxa" w:w="120"/>
              <w:bottom w:type="dxa" w:w="80"/>
              <w:right w:type="dxa" w:w="120"/>
            </w:tcMar>
          </w:tcPr>
          <w:p>
            <w:r>
              <w:rPr>
                <w:rFonts w:ascii="Calibri" w:cs="Calibri" w:eastAsia="Calibri" w:hAnsi="Calibri"/>
                <w:b/>
                <w:bCs/>
                <w:sz w:val="20"/>
                <w:szCs w:val="20"/>
              </w:rPr>
              <w:t xml:space="preserve">ADR References</w:t>
            </w:r>
          </w:p>
        </w:tc>
        <w:tc>
          <w:tcPr>
            <w:tcW w:type="dxa" w:w="6660"/>
            <w:tcMar>
              <w:top w:type="dxa" w:w="80"/>
              <w:left w:type="dxa" w:w="120"/>
              <w:bottom w:type="dxa" w:w="80"/>
              <w:right w:type="dxa" w:w="120"/>
            </w:tcMar>
          </w:tcPr>
          <w:p>
            <w:r>
              <w:rPr>
                <w:rFonts w:ascii="Calibri" w:cs="Calibri" w:eastAsia="Calibri" w:hAnsi="Calibri"/>
                <w:sz w:val="20"/>
                <w:szCs w:val="20"/>
              </w:rPr>
              <w:t xml:space="preserve">ADR-014 (scopes Claude Code to ~/openclaw); ADR-036 (GPU VRAM Allocation Policy — materially affected, see Section 7); ADR-042 (ADR corpus reconciliation, OPEN)</w:t>
            </w:r>
          </w:p>
        </w:tc>
      </w:tr>
      <w:tr>
        <w:tc>
          <w:tcPr>
            <w:tcW w:type="dxa" w:w="2700"/>
            <w:shd w:fill="F2F2F2" w:val="clear"/>
            <w:tcMar>
              <w:top w:type="dxa" w:w="80"/>
              <w:left w:type="dxa" w:w="120"/>
              <w:bottom w:type="dxa" w:w="80"/>
              <w:right w:type="dxa" w:w="120"/>
            </w:tcMar>
          </w:tcPr>
          <w:p>
            <w:r>
              <w:rPr>
                <w:rFonts w:ascii="Calibri" w:cs="Calibri" w:eastAsia="Calibri" w:hAnsi="Calibri"/>
                <w:b/>
                <w:bCs/>
                <w:sz w:val="20"/>
                <w:szCs w:val="20"/>
              </w:rPr>
              <w:t xml:space="preserve">NIST Controls</w:t>
            </w:r>
          </w:p>
        </w:tc>
        <w:tc>
          <w:tcPr>
            <w:tcW w:type="dxa" w:w="6660"/>
            <w:tcMar>
              <w:top w:type="dxa" w:w="80"/>
              <w:left w:type="dxa" w:w="120"/>
              <w:bottom w:type="dxa" w:w="80"/>
              <w:right w:type="dxa" w:w="120"/>
            </w:tcMar>
          </w:tcPr>
          <w:p>
            <w:r>
              <w:rPr>
                <w:rFonts w:ascii="Calibri" w:cs="Calibri" w:eastAsia="Calibri" w:hAnsi="Calibri"/>
                <w:sz w:val="20"/>
                <w:szCs w:val="20"/>
              </w:rPr>
              <w:t xml:space="preserve">PROPOSED — CM-8 (System Component Inventory), SA-2 (Allocation of Resources), CM-9 (Configuration Management Plan). Verify against NIST SP 800-53 Rev. 5 before treating as authoritative.</w:t>
            </w:r>
          </w:p>
        </w:tc>
      </w:tr>
      <w:tr>
        <w:tc>
          <w:tcPr>
            <w:tcW w:type="dxa" w:w="2700"/>
            <w:shd w:fill="F2F2F2" w:val="clear"/>
            <w:tcMar>
              <w:top w:type="dxa" w:w="80"/>
              <w:left w:type="dxa" w:w="120"/>
              <w:bottom w:type="dxa" w:w="80"/>
              <w:right w:type="dxa" w:w="120"/>
            </w:tcMar>
          </w:tcPr>
          <w:p>
            <w:r>
              <w:rPr>
                <w:rFonts w:ascii="Calibri" w:cs="Calibri" w:eastAsia="Calibri" w:hAnsi="Calibri"/>
                <w:b/>
                <w:bCs/>
                <w:sz w:val="20"/>
                <w:szCs w:val="20"/>
              </w:rPr>
              <w:t xml:space="preserve">Phase Scope</w:t>
            </w:r>
          </w:p>
        </w:tc>
        <w:tc>
          <w:tcPr>
            <w:tcW w:type="dxa" w:w="6660"/>
            <w:tcMar>
              <w:top w:type="dxa" w:w="80"/>
              <w:left w:type="dxa" w:w="120"/>
              <w:bottom w:type="dxa" w:w="80"/>
              <w:right w:type="dxa" w:w="120"/>
            </w:tcMar>
          </w:tcPr>
          <w:p>
            <w:r>
              <w:rPr>
                <w:rFonts w:ascii="Calibri" w:cs="Calibri" w:eastAsia="Calibri" w:hAnsi="Calibri"/>
                <w:sz w:val="20"/>
                <w:szCs w:val="20"/>
              </w:rPr>
              <w:t xml:space="preserve">Phase 1 — platform and governance. No code change required by this decision.</w:t>
            </w:r>
          </w:p>
        </w:tc>
      </w:tr>
      <w:tr>
        <w:tc>
          <w:tcPr>
            <w:tcW w:type="dxa" w:w="2700"/>
            <w:shd w:fill="F2F2F2" w:val="clear"/>
            <w:tcMar>
              <w:top w:type="dxa" w:w="80"/>
              <w:left w:type="dxa" w:w="120"/>
              <w:bottom w:type="dxa" w:w="80"/>
              <w:right w:type="dxa" w:w="120"/>
            </w:tcMar>
          </w:tcPr>
          <w:p>
            <w:r>
              <w:rPr>
                <w:rFonts w:ascii="Calibri" w:cs="Calibri" w:eastAsia="Calibri" w:hAnsi="Calibri"/>
                <w:b/>
                <w:bCs/>
                <w:sz w:val="20"/>
                <w:szCs w:val="20"/>
              </w:rPr>
              <w:t xml:space="preserve">Supersedes</w:t>
            </w:r>
          </w:p>
        </w:tc>
        <w:tc>
          <w:tcPr>
            <w:tcW w:type="dxa" w:w="6660"/>
            <w:tcMar>
              <w:top w:type="dxa" w:w="80"/>
              <w:left w:type="dxa" w:w="120"/>
              <w:bottom w:type="dxa" w:w="80"/>
              <w:right w:type="dxa" w:w="120"/>
            </w:tcMar>
          </w:tcPr>
          <w:p>
            <w:r>
              <w:rPr>
                <w:rFonts w:ascii="Calibri" w:cs="Calibri" w:eastAsia="Calibri" w:hAnsi="Calibri"/>
                <w:sz w:val="20"/>
                <w:szCs w:val="20"/>
              </w:rPr>
              <w:t xml:space="preserve">Instructions v2.0 ('Mac Studio M5'); project memory ('M4 Mac Mini 32GB / possibly the M5 Mini'). Closes the 'target production machine recorded inconsistently' item left open in instructions v3.0.</w:t>
            </w:r>
          </w:p>
        </w:tc>
      </w:tr>
    </w:tbl>
    <w:p>
      <w:pPr>
        <w:pStyle w:val="Heading1"/>
        <w:spacing w:after="140" w:before="280"/>
      </w:pPr>
      <w:r>
        <w:rPr>
          <w:rFonts w:ascii="Calibri" w:cs="Calibri" w:eastAsia="Calibri" w:hAnsi="Calibri"/>
          <w:b/>
          <w:bCs/>
          <w:color w:val="1F3864"/>
          <w:sz w:val="26"/>
          <w:szCs w:val="26"/>
        </w:rPr>
        <w:t xml:space="preserve">2.  Problem Statement</w:t>
      </w:r>
    </w:p>
    <w:p>
      <w:pPr>
        <w:spacing w:after="120" w:line="276"/>
      </w:pPr>
      <w:r>
        <w:rPr>
          <w:rFonts w:ascii="Calibri" w:cs="Calibri" w:eastAsia="Calibri" w:hAnsi="Calibri"/>
          <w:sz w:val="21"/>
          <w:szCs w:val="21"/>
        </w:rPr>
        <w:t xml:space="preserve">Project documentation has carried, since inception, the assumption that OpenClaw would eventually migrate to a dedicated always-on host. That target was recorded inconsistently across sources — instructions v2.0 specified a 'Mac Studio M5'; project memory recorded an 'M4 Mac Mini 32GB, possibly the M5 Mini'. Instructions v3.0 (August 23, 2026) explicitly flagged the inconsistency and deferred it.</w:t>
      </w:r>
    </w:p>
    <w:p>
      <w:pPr>
        <w:spacing w:after="120" w:line="276"/>
      </w:pPr>
      <w:r>
        <w:rPr>
          <w:rFonts w:ascii="Calibri" w:cs="Calibri" w:eastAsia="Calibri" w:hAnsi="Calibri"/>
          <w:sz w:val="21"/>
          <w:szCs w:val="21"/>
        </w:rPr>
        <w:t xml:space="preserve">No such machine was ever purchased. The entire system has run, from the beginning, on the operator's personal MacBook Air. Several architectural decisions — most consequentially ADR-036 — were written against the assumed hardware rather than the actual hardware, and are therefore not implementable as written.</w:t>
      </w:r>
    </w:p>
    <w:p>
      <w:pPr>
        <w:spacing w:after="120" w:line="276"/>
      </w:pPr>
      <w:r>
        <w:rPr>
          <w:rFonts w:ascii="Calibri" w:cs="Calibri" w:eastAsia="Calibri" w:hAnsi="Calibri"/>
          <w:sz w:val="21"/>
          <w:szCs w:val="21"/>
        </w:rPr>
        <w:t xml:space="preserve">The immediate trigger was a purchasing question: whether to acquire a used Mac Studio at approximately $1,500 to serve as that dedicated host and to support local inference for confidential work, versus renting cloud infrastructure.</w:t>
      </w:r>
    </w:p>
    <w:p>
      <w:pPr>
        <w:pStyle w:val="Heading1"/>
        <w:spacing w:after="140" w:before="280"/>
      </w:pPr>
      <w:r>
        <w:rPr>
          <w:rFonts w:ascii="Calibri" w:cs="Calibri" w:eastAsia="Calibri" w:hAnsi="Calibri"/>
          <w:b/>
          <w:bCs/>
          <w:color w:val="1F3864"/>
          <w:sz w:val="26"/>
          <w:szCs w:val="26"/>
        </w:rPr>
        <w:t xml:space="preserve">3.  Measured Baseline (September 20, 2026)</w:t>
      </w:r>
    </w:p>
    <w:p>
      <w:pPr>
        <w:spacing w:after="120" w:line="276"/>
      </w:pPr>
      <w:r>
        <w:rPr>
          <w:rFonts w:ascii="Calibri" w:cs="Calibri" w:eastAsia="Calibri" w:hAnsi="Calibri"/>
          <w:i/>
          <w:iCs/>
          <w:sz w:val="21"/>
          <w:szCs w:val="21"/>
        </w:rPr>
        <w:t xml:space="preserve">All values below were measured directly on the live host, not inferred from documentation.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2F2F2" w:val="clear"/>
            <w:tcMar>
              <w:top w:type="dxa" w:w="70"/>
              <w:left w:type="dxa" w:w="110"/>
              <w:bottom w:type="dxa" w:w="70"/>
              <w:right w:type="dxa" w:w="110"/>
            </w:tcMar>
          </w:tcPr>
          <w:p>
            <w:r>
              <w:rPr>
                <w:rFonts w:ascii="Calibri" w:cs="Calibri" w:eastAsia="Calibri" w:hAnsi="Calibri"/>
                <w:b/>
                <w:bCs/>
                <w:sz w:val="19"/>
                <w:szCs w:val="19"/>
              </w:rPr>
              <w:t xml:space="preserve">Attribute</w:t>
            </w:r>
          </w:p>
        </w:tc>
        <w:tc>
          <w:tcPr>
            <w:tcW w:type="dxa" w:w="2340"/>
            <w:shd w:fill="F2F2F2" w:val="clear"/>
            <w:tcMar>
              <w:top w:type="dxa" w:w="70"/>
              <w:left w:type="dxa" w:w="110"/>
              <w:bottom w:type="dxa" w:w="70"/>
              <w:right w:type="dxa" w:w="110"/>
            </w:tcMar>
          </w:tcPr>
          <w:p>
            <w:r>
              <w:rPr>
                <w:rFonts w:ascii="Calibri" w:cs="Calibri" w:eastAsia="Calibri" w:hAnsi="Calibri"/>
                <w:b/>
                <w:bCs/>
                <w:sz w:val="19"/>
                <w:szCs w:val="19"/>
              </w:rPr>
              <w:t xml:space="preserve">Measured</w:t>
            </w:r>
          </w:p>
        </w:tc>
        <w:tc>
          <w:tcPr>
            <w:tcW w:type="dxa" w:w="2340"/>
            <w:shd w:fill="F2F2F2" w:val="clear"/>
            <w:tcMar>
              <w:top w:type="dxa" w:w="70"/>
              <w:left w:type="dxa" w:w="110"/>
              <w:bottom w:type="dxa" w:w="70"/>
              <w:right w:type="dxa" w:w="110"/>
            </w:tcMar>
          </w:tcPr>
          <w:p>
            <w:r>
              <w:rPr>
                <w:rFonts w:ascii="Calibri" w:cs="Calibri" w:eastAsia="Calibri" w:hAnsi="Calibri"/>
                <w:b/>
                <w:bCs/>
                <w:sz w:val="19"/>
                <w:szCs w:val="19"/>
              </w:rPr>
              <w:t xml:space="preserve">Attribute</w:t>
            </w:r>
          </w:p>
        </w:tc>
        <w:tc>
          <w:tcPr>
            <w:tcW w:type="dxa" w:w="2340"/>
            <w:shd w:fill="F2F2F2" w:val="clear"/>
            <w:tcMar>
              <w:top w:type="dxa" w:w="70"/>
              <w:left w:type="dxa" w:w="110"/>
              <w:bottom w:type="dxa" w:w="70"/>
              <w:right w:type="dxa" w:w="110"/>
            </w:tcMar>
          </w:tcPr>
          <w:p>
            <w:r>
              <w:rPr>
                <w:rFonts w:ascii="Calibri" w:cs="Calibri" w:eastAsia="Calibri" w:hAnsi="Calibri"/>
                <w:b/>
                <w:bCs/>
                <w:sz w:val="19"/>
                <w:szCs w:val="19"/>
              </w:rPr>
              <w:t xml:space="preserve">Measured</w:t>
            </w:r>
          </w:p>
        </w:tc>
      </w:tr>
      <w:tr>
        <w:tc>
          <w:tcPr>
            <w:tcW w:type="dxa" w:w="2340"/>
            <w:tcMar>
              <w:top w:type="dxa" w:w="70"/>
              <w:left w:type="dxa" w:w="110"/>
              <w:bottom w:type="dxa" w:w="70"/>
              <w:right w:type="dxa" w:w="110"/>
            </w:tcMar>
          </w:tcPr>
          <w:p>
            <w:r>
              <w:rPr>
                <w:rFonts w:ascii="Calibri" w:cs="Calibri" w:eastAsia="Calibri" w:hAnsi="Calibri"/>
                <w:sz w:val="19"/>
                <w:szCs w:val="19"/>
              </w:rPr>
              <w:t xml:space="preserve">Model</w:t>
            </w:r>
          </w:p>
        </w:tc>
        <w:tc>
          <w:tcPr>
            <w:tcW w:type="dxa" w:w="2340"/>
            <w:tcMar>
              <w:top w:type="dxa" w:w="70"/>
              <w:left w:type="dxa" w:w="110"/>
              <w:bottom w:type="dxa" w:w="70"/>
              <w:right w:type="dxa" w:w="110"/>
            </w:tcMar>
          </w:tcPr>
          <w:p>
            <w:r>
              <w:rPr>
                <w:rFonts w:ascii="Calibri" w:cs="Calibri" w:eastAsia="Calibri" w:hAnsi="Calibri"/>
                <w:sz w:val="19"/>
                <w:szCs w:val="19"/>
              </w:rPr>
              <w:t xml:space="preserve">MacBook Air (MacBookAir10,1)</w:t>
            </w:r>
          </w:p>
        </w:tc>
        <w:tc>
          <w:tcPr>
            <w:tcW w:type="dxa" w:w="2340"/>
            <w:tcMar>
              <w:top w:type="dxa" w:w="70"/>
              <w:left w:type="dxa" w:w="110"/>
              <w:bottom w:type="dxa" w:w="70"/>
              <w:right w:type="dxa" w:w="110"/>
            </w:tcMar>
          </w:tcPr>
          <w:p>
            <w:r>
              <w:rPr>
                <w:rFonts w:ascii="Calibri" w:cs="Calibri" w:eastAsia="Calibri" w:hAnsi="Calibri"/>
                <w:sz w:val="19"/>
                <w:szCs w:val="19"/>
              </w:rPr>
              <w:t xml:space="preserve">Unified memory</w:t>
            </w:r>
          </w:p>
        </w:tc>
        <w:tc>
          <w:tcPr>
            <w:tcW w:type="dxa" w:w="2340"/>
            <w:tcMar>
              <w:top w:type="dxa" w:w="70"/>
              <w:left w:type="dxa" w:w="110"/>
              <w:bottom w:type="dxa" w:w="70"/>
              <w:right w:type="dxa" w:w="110"/>
            </w:tcMar>
          </w:tcPr>
          <w:p>
            <w:r>
              <w:rPr>
                <w:rFonts w:ascii="Calibri" w:cs="Calibri" w:eastAsia="Calibri" w:hAnsi="Calibri"/>
                <w:sz w:val="19"/>
                <w:szCs w:val="19"/>
              </w:rPr>
              <w:t xml:space="preserve">16 GB</w:t>
            </w:r>
          </w:p>
        </w:tc>
      </w:tr>
      <w:tr>
        <w:tc>
          <w:tcPr>
            <w:tcW w:type="dxa" w:w="2340"/>
            <w:tcMar>
              <w:top w:type="dxa" w:w="70"/>
              <w:left w:type="dxa" w:w="110"/>
              <w:bottom w:type="dxa" w:w="70"/>
              <w:right w:type="dxa" w:w="110"/>
            </w:tcMar>
          </w:tcPr>
          <w:p>
            <w:r>
              <w:rPr>
                <w:rFonts w:ascii="Calibri" w:cs="Calibri" w:eastAsia="Calibri" w:hAnsi="Calibri"/>
                <w:sz w:val="19"/>
                <w:szCs w:val="19"/>
              </w:rPr>
              <w:t xml:space="preserve">Chip</w:t>
            </w:r>
          </w:p>
        </w:tc>
        <w:tc>
          <w:tcPr>
            <w:tcW w:type="dxa" w:w="2340"/>
            <w:tcMar>
              <w:top w:type="dxa" w:w="70"/>
              <w:left w:type="dxa" w:w="110"/>
              <w:bottom w:type="dxa" w:w="70"/>
              <w:right w:type="dxa" w:w="110"/>
            </w:tcMar>
          </w:tcPr>
          <w:p>
            <w:r>
              <w:rPr>
                <w:rFonts w:ascii="Calibri" w:cs="Calibri" w:eastAsia="Calibri" w:hAnsi="Calibri"/>
                <w:sz w:val="19"/>
                <w:szCs w:val="19"/>
              </w:rPr>
              <w:t xml:space="preserve">Apple M1, 8-core (4P/4E)</w:t>
            </w:r>
          </w:p>
        </w:tc>
        <w:tc>
          <w:tcPr>
            <w:tcW w:type="dxa" w:w="2340"/>
            <w:tcMar>
              <w:top w:type="dxa" w:w="70"/>
              <w:left w:type="dxa" w:w="110"/>
              <w:bottom w:type="dxa" w:w="70"/>
              <w:right w:type="dxa" w:w="110"/>
            </w:tcMar>
          </w:tcPr>
          <w:p>
            <w:r>
              <w:rPr>
                <w:rFonts w:ascii="Calibri" w:cs="Calibri" w:eastAsia="Calibri" w:hAnsi="Calibri"/>
                <w:sz w:val="19"/>
                <w:szCs w:val="19"/>
              </w:rPr>
              <w:t xml:space="preserve">Memory bandwidth</w:t>
            </w:r>
          </w:p>
        </w:tc>
        <w:tc>
          <w:tcPr>
            <w:tcW w:type="dxa" w:w="2340"/>
            <w:tcMar>
              <w:top w:type="dxa" w:w="70"/>
              <w:left w:type="dxa" w:w="110"/>
              <w:bottom w:type="dxa" w:w="70"/>
              <w:right w:type="dxa" w:w="110"/>
            </w:tcMar>
          </w:tcPr>
          <w:p>
            <w:r>
              <w:rPr>
                <w:rFonts w:ascii="Calibri" w:cs="Calibri" w:eastAsia="Calibri" w:hAnsi="Calibri"/>
                <w:sz w:val="19"/>
                <w:szCs w:val="19"/>
              </w:rPr>
              <w:t xml:space="preserve">~68 GB/s</w:t>
            </w:r>
          </w:p>
        </w:tc>
      </w:tr>
      <w:tr>
        <w:tc>
          <w:tcPr>
            <w:tcW w:type="dxa" w:w="2340"/>
            <w:tcMar>
              <w:top w:type="dxa" w:w="70"/>
              <w:left w:type="dxa" w:w="110"/>
              <w:bottom w:type="dxa" w:w="70"/>
              <w:right w:type="dxa" w:w="110"/>
            </w:tcMar>
          </w:tcPr>
          <w:p>
            <w:r>
              <w:rPr>
                <w:rFonts w:ascii="Calibri" w:cs="Calibri" w:eastAsia="Calibri" w:hAnsi="Calibri"/>
                <w:sz w:val="19"/>
                <w:szCs w:val="19"/>
              </w:rPr>
              <w:t xml:space="preserve">Cooling</w:t>
            </w:r>
          </w:p>
        </w:tc>
        <w:tc>
          <w:tcPr>
            <w:tcW w:type="dxa" w:w="2340"/>
            <w:tcMar>
              <w:top w:type="dxa" w:w="70"/>
              <w:left w:type="dxa" w:w="110"/>
              <w:bottom w:type="dxa" w:w="70"/>
              <w:right w:type="dxa" w:w="110"/>
            </w:tcMar>
          </w:tcPr>
          <w:p>
            <w:r>
              <w:rPr>
                <w:rFonts w:ascii="Calibri" w:cs="Calibri" w:eastAsia="Calibri" w:hAnsi="Calibri"/>
                <w:sz w:val="19"/>
                <w:szCs w:val="19"/>
              </w:rPr>
              <w:t xml:space="preserve">Fanless (passive)</w:t>
            </w:r>
          </w:p>
        </w:tc>
        <w:tc>
          <w:tcPr>
            <w:tcW w:type="dxa" w:w="2340"/>
            <w:tcMar>
              <w:top w:type="dxa" w:w="70"/>
              <w:left w:type="dxa" w:w="110"/>
              <w:bottom w:type="dxa" w:w="70"/>
              <w:right w:type="dxa" w:w="110"/>
            </w:tcMar>
          </w:tcPr>
          <w:p>
            <w:r>
              <w:rPr>
                <w:rFonts w:ascii="Calibri" w:cs="Calibri" w:eastAsia="Calibri" w:hAnsi="Calibri"/>
                <w:sz w:val="19"/>
                <w:szCs w:val="19"/>
              </w:rPr>
              <w:t xml:space="preserve">Local models</w:t>
            </w:r>
          </w:p>
        </w:tc>
        <w:tc>
          <w:tcPr>
            <w:tcW w:type="dxa" w:w="2340"/>
            <w:tcMar>
              <w:top w:type="dxa" w:w="70"/>
              <w:left w:type="dxa" w:w="110"/>
              <w:bottom w:type="dxa" w:w="70"/>
              <w:right w:type="dxa" w:w="110"/>
            </w:tcMar>
          </w:tcPr>
          <w:p>
            <w:r>
              <w:rPr>
                <w:rFonts w:ascii="Calibri" w:cs="Calibri" w:eastAsia="Calibri" w:hAnsi="Calibri"/>
                <w:sz w:val="19"/>
                <w:szCs w:val="19"/>
              </w:rPr>
              <w:t xml:space="preserve">gemma4:e4b 9.6 GB; llama3.2 2 GB</w:t>
            </w:r>
          </w:p>
        </w:tc>
      </w:tr>
      <w:tr>
        <w:tc>
          <w:tcPr>
            <w:tcW w:type="dxa" w:w="2340"/>
            <w:tcMar>
              <w:top w:type="dxa" w:w="70"/>
              <w:left w:type="dxa" w:w="110"/>
              <w:bottom w:type="dxa" w:w="70"/>
              <w:right w:type="dxa" w:w="110"/>
            </w:tcMar>
          </w:tcPr>
          <w:p>
            <w:r>
              <w:rPr>
                <w:rFonts w:ascii="Calibri" w:cs="Calibri" w:eastAsia="Calibri" w:hAnsi="Calibri"/>
                <w:sz w:val="19"/>
                <w:szCs w:val="19"/>
              </w:rPr>
              <w:t xml:space="preserve">Postgres database</w:t>
            </w:r>
          </w:p>
        </w:tc>
        <w:tc>
          <w:tcPr>
            <w:tcW w:type="dxa" w:w="2340"/>
            <w:tcMar>
              <w:top w:type="dxa" w:w="70"/>
              <w:left w:type="dxa" w:w="110"/>
              <w:bottom w:type="dxa" w:w="70"/>
              <w:right w:type="dxa" w:w="110"/>
            </w:tcMar>
          </w:tcPr>
          <w:p>
            <w:r>
              <w:rPr>
                <w:rFonts w:ascii="Calibri" w:cs="Calibri" w:eastAsia="Calibri" w:hAnsi="Calibri"/>
                <w:sz w:val="19"/>
                <w:szCs w:val="19"/>
              </w:rPr>
              <w:t xml:space="preserve">10 MB</w:t>
            </w:r>
          </w:p>
        </w:tc>
        <w:tc>
          <w:tcPr>
            <w:tcW w:type="dxa" w:w="2340"/>
            <w:tcMar>
              <w:top w:type="dxa" w:w="70"/>
              <w:left w:type="dxa" w:w="110"/>
              <w:bottom w:type="dxa" w:w="70"/>
              <w:right w:type="dxa" w:w="110"/>
            </w:tcMar>
          </w:tcPr>
          <w:p>
            <w:r>
              <w:rPr>
                <w:rFonts w:ascii="Calibri" w:cs="Calibri" w:eastAsia="Calibri" w:hAnsi="Calibri"/>
                <w:sz w:val="19"/>
                <w:szCs w:val="19"/>
              </w:rPr>
              <w:t xml:space="preserve">NUM_CTX</w:t>
            </w:r>
          </w:p>
        </w:tc>
        <w:tc>
          <w:tcPr>
            <w:tcW w:type="dxa" w:w="2340"/>
            <w:tcMar>
              <w:top w:type="dxa" w:w="70"/>
              <w:left w:type="dxa" w:w="110"/>
              <w:bottom w:type="dxa" w:w="70"/>
              <w:right w:type="dxa" w:w="110"/>
            </w:tcMar>
          </w:tcPr>
          <w:p>
            <w:r>
              <w:rPr>
                <w:rFonts w:ascii="Calibri" w:cs="Calibri" w:eastAsia="Calibri" w:hAnsi="Calibri"/>
                <w:sz w:val="19"/>
                <w:szCs w:val="19"/>
              </w:rPr>
              <w:t xml:space="preserve">8192 (memory-constrained)</w:t>
            </w:r>
          </w:p>
        </w:tc>
      </w:tr>
    </w:tbl>
    <w:p>
      <w:pPr>
        <w:spacing w:after="120" w:line="276"/>
      </w:pPr>
      <w:r>
        <w:rPr>
          <w:rFonts w:ascii="Calibri" w:cs="Calibri" w:eastAsia="Calibri" w:hAnsi="Calibri"/>
          <w:sz w:val="21"/>
          <w:szCs w:val="21"/>
        </w:rPr>
        <w:t xml:space="preserve"/>
      </w:r>
    </w:p>
    <w:p>
      <w:pPr>
        <w:spacing w:after="120" w:line="276"/>
      </w:pPr>
      <w:r>
        <w:rPr>
          <w:rFonts w:ascii="Calibri" w:cs="Calibri" w:eastAsia="Calibri" w:hAnsi="Calibri"/>
          <w:sz w:val="21"/>
          <w:szCs w:val="21"/>
        </w:rPr>
        <w:t xml:space="preserve">Two measurements reframed the decision. First, the production database is 10 MB — the pipeline's data footprint is trivial, and its content is entirely public Federal Register material. Second, available memory, not processor speed, is the binding constraint on local inference: a 9.6 GB model in 16 GB of unified memory shared with four Docker containers is what holds NUM_CTX at 8192.</w:t>
      </w:r>
    </w:p>
    <w:p>
      <w:pPr>
        <w:pStyle w:val="Heading1"/>
        <w:spacing w:after="140" w:before="280"/>
      </w:pPr>
      <w:r>
        <w:rPr>
          <w:rFonts w:ascii="Calibri" w:cs="Calibri" w:eastAsia="Calibri" w:hAnsi="Calibri"/>
          <w:b/>
          <w:bCs/>
          <w:color w:val="1F3864"/>
          <w:sz w:val="26"/>
          <w:szCs w:val="26"/>
        </w:rPr>
        <w:t xml:space="preserve">4.  Workload Characterisation</w:t>
      </w:r>
    </w:p>
    <w:p>
      <w:pPr>
        <w:spacing w:after="120" w:line="276"/>
      </w:pPr>
      <w:r>
        <w:rPr>
          <w:rFonts w:ascii="Calibri" w:cs="Calibri" w:eastAsia="Calibri" w:hAnsi="Calibri"/>
          <w:sz w:val="21"/>
          <w:szCs w:val="21"/>
        </w:rPr>
        <w:t xml:space="preserve">The system comprises two workloads with opposite requirements, previously treated as one:</w:t>
      </w:r>
    </w:p>
    <w:p>
      <w:pPr>
        <w:pStyle w:val="ListParagraph"/>
        <w:numPr>
          <w:ilvl w:val="0"/>
          <w:numId w:val="1"/>
        </w:numPr>
        <w:spacing w:after="80" w:line="276"/>
      </w:pPr>
      <w:r>
        <w:rPr>
          <w:rFonts w:ascii="Calibri" w:cs="Calibri" w:eastAsia="Calibri" w:hAnsi="Calibri"/>
          <w:sz w:val="21"/>
          <w:szCs w:val="21"/>
        </w:rPr>
        <w:t xml:space="preserve">Always-on pipeline — scraper, PostgreSQL, FastAPI, scheduler. Requires uptime, negligible compute, 10 MB of public data. This workload is the source of the recurring reliability engineering (pmset wake scheduling, a 3h05m APScheduler misfire grace) that exists solely because a laptop sleeps and travels.</w:t>
      </w:r>
    </w:p>
    <w:p>
      <w:pPr>
        <w:pStyle w:val="ListParagraph"/>
        <w:numPr>
          <w:ilvl w:val="0"/>
          <w:numId w:val="1"/>
        </w:numPr>
        <w:spacing w:after="80" w:line="276"/>
      </w:pPr>
      <w:r>
        <w:rPr>
          <w:rFonts w:ascii="Calibri" w:cs="Calibri" w:eastAsia="Calibri" w:hAnsi="Calibri"/>
          <w:sz w:val="21"/>
          <w:szCs w:val="21"/>
        </w:rPr>
        <w:t xml:space="preserve">Confidential local inference — bursty, high memory demand, minutes per session. Anticipated frequency: 1–2 sessions per month.</w:t>
      </w:r>
    </w:p>
    <w:p>
      <w:pPr>
        <w:spacing w:after="120" w:line="276"/>
      </w:pPr>
      <w:r>
        <w:rPr>
          <w:rFonts w:ascii="Calibri" w:cs="Calibri" w:eastAsia="Calibri" w:hAnsi="Calibri"/>
          <w:sz w:val="21"/>
          <w:szCs w:val="21"/>
        </w:rPr>
        <w:t xml:space="preserve">Because the pipeline's data is public, no confidentiality constraint applies to where it is hosted. The confidentiality requirement attaches exclusively to the second workload.</w:t>
      </w:r>
    </w:p>
    <w:p>
      <w:pPr>
        <w:pStyle w:val="Heading1"/>
        <w:spacing w:after="140" w:before="280"/>
      </w:pPr>
      <w:r>
        <w:rPr>
          <w:rFonts w:ascii="Calibri" w:cs="Calibri" w:eastAsia="Calibri" w:hAnsi="Calibri"/>
          <w:b/>
          <w:bCs/>
          <w:color w:val="1F3864"/>
          <w:sz w:val="26"/>
          <w:szCs w:val="26"/>
        </w:rPr>
        <w:t xml:space="preserve">5.  Data Handling Boundary (standing constraint)</w:t>
      </w:r>
    </w:p>
    <w:p>
      <w:pPr>
        <w:spacing w:after="120" w:line="276"/>
      </w:pPr>
      <w:r>
        <w:rPr>
          <w:rFonts w:ascii="Calibri" w:cs="Calibri" w:eastAsia="Calibri" w:hAnsi="Calibri"/>
          <w:sz w:val="21"/>
          <w:szCs w:val="21"/>
        </w:rPr>
        <w:t xml:space="preserve">No Maine DHHS work product is ever stored or processed on any device or resource other than those owned or controlled by Maine State Government. This is an absolute boundary, affirmed by the operator, who is the Compliance Manager responsible for training on this subject at DHHS OFI.</w:t>
      </w:r>
    </w:p>
    <w:p>
      <w:pPr>
        <w:spacing w:after="120" w:line="276"/>
      </w:pPr>
      <w:r>
        <w:rPr>
          <w:rFonts w:ascii="Calibri" w:cs="Calibri" w:eastAsia="Calibri" w:hAnsi="Calibri"/>
          <w:sz w:val="21"/>
          <w:szCs w:val="21"/>
        </w:rPr>
        <w:t xml:space="preserve">Accordingly, 'confidential work' in this ADR means the operator's own private material only — personal finances, health, family matters, and personally-owned intellectual property including SaaS and sub-agent concepts under development. No institutional or regulatory constraint governs the hosting choice for that material; it is the operator's own risk decision.</w:t>
      </w:r>
    </w:p>
    <w:p>
      <w:pPr>
        <w:pStyle w:val="Heading1"/>
        <w:spacing w:after="140" w:before="280"/>
      </w:pPr>
      <w:r>
        <w:rPr>
          <w:rFonts w:ascii="Calibri" w:cs="Calibri" w:eastAsia="Calibri" w:hAnsi="Calibri"/>
          <w:b/>
          <w:bCs/>
          <w:color w:val="1F3864"/>
          <w:sz w:val="26"/>
          <w:szCs w:val="26"/>
        </w:rPr>
        <w:t xml:space="preserve">6.  Options Considered</w:t>
      </w:r>
    </w:p>
    <w:p>
      <w:pPr>
        <w:spacing w:after="120" w:line="276"/>
      </w:pPr>
      <w:r>
        <w:rPr>
          <w:rFonts w:ascii="Calibri" w:cs="Calibri" w:eastAsia="Calibri" w:hAnsi="Calibri"/>
          <w:sz w:val="21"/>
          <w:szCs w:val="21"/>
        </w:rPr>
        <w:t xml:space="preserve">Option A — Used Mac Studio (M1 Max / Ultra), approximately $1,500. Large unified memory (up to 64–128 GB) and high memory bandwidth (400 GB/s Max, 800 GB/s Ultra) would unlock 70B-class quantised models locally. Rejected: at 1–2 confidential sessions per month the cost is approximately $60–125 per session in year one, for capability exercised roughly two dozen times annually. A 2022-generation machine also carries a materially shortened macOS support runway (est. 2029–2030).</w:t>
      </w:r>
    </w:p>
    <w:p>
      <w:pPr>
        <w:spacing w:after="120" w:line="276"/>
      </w:pPr>
      <w:r>
        <w:rPr>
          <w:rFonts w:ascii="Calibri" w:cs="Calibri" w:eastAsia="Calibri" w:hAnsi="Calibri"/>
          <w:sz w:val="21"/>
          <w:szCs w:val="21"/>
        </w:rPr>
        <w:t xml:space="preserve">Option B — New M4 Pro Mac Mini. Full warranty and roughly twice the remaining support life, at 273 GB/s bandwidth. Rejected on the same frequency-of-use grounds as Option A; the purchase is not justified by the workload regardless of which machine is selected.</w:t>
      </w:r>
    </w:p>
    <w:p>
      <w:pPr>
        <w:spacing w:after="120" w:line="276"/>
      </w:pPr>
      <w:r>
        <w:rPr>
          <w:rFonts w:ascii="Calibri" w:cs="Calibri" w:eastAsia="Calibri" w:hAnsi="Calibri"/>
          <w:sz w:val="21"/>
          <w:szCs w:val="21"/>
        </w:rPr>
        <w:t xml:space="preserve">Option C — Rented cloud GPU ('web space'). Appropriate and cost-effective for the public pipeline, but unsuitable for confidential inference, which by definition should not be processed on infrastructure outside the operator's control. Does not satisfy the requirement that motivated the purchase question.</w:t>
      </w:r>
    </w:p>
    <w:p>
      <w:pPr>
        <w:spacing w:after="120" w:line="276"/>
      </w:pPr>
      <w:r>
        <w:rPr>
          <w:rFonts w:ascii="Calibri" w:cs="Calibri" w:eastAsia="Calibri" w:hAnsi="Calibri"/>
          <w:b w:val="false"/>
          <w:bCs w:val="false"/>
          <w:sz w:val="21"/>
          <w:szCs w:val="21"/>
        </w:rPr>
        <w:t xml:space="preserve">Option D — Retain the MacBook Air (SELECTED). The existing 16 GB M1 is adequate for occasional confidential text work: drafting, summarising, and analysing the operator's own documents. Its limitations — slower generation, thermal throttling under sustained load, and a context ceiling — are tolerable annoyances at 1–2 sessions per month rather than blockers.</w:t>
      </w:r>
    </w:p>
    <w:p>
      <w:pPr>
        <w:pStyle w:val="Heading1"/>
        <w:spacing w:after="140" w:before="280"/>
      </w:pPr>
      <w:r>
        <w:rPr>
          <w:rFonts w:ascii="Calibri" w:cs="Calibri" w:eastAsia="Calibri" w:hAnsi="Calibri"/>
          <w:b/>
          <w:bCs/>
          <w:color w:val="1F3864"/>
          <w:sz w:val="26"/>
          <w:szCs w:val="26"/>
        </w:rPr>
        <w:t xml:space="preserve">7.  Decision</w:t>
      </w:r>
    </w:p>
    <w:p>
      <w:pPr>
        <w:spacing w:after="120" w:line="276"/>
      </w:pPr>
      <w:r>
        <w:rPr>
          <w:rFonts w:ascii="Calibri" w:cs="Calibri" w:eastAsia="Calibri" w:hAnsi="Calibri"/>
          <w:b/>
          <w:bCs/>
          <w:sz w:val="21"/>
          <w:szCs w:val="21"/>
        </w:rPr>
        <w:t xml:space="preserve">No dedicated hardware will be purchased. The MacBook Air is the production host until a revisit trigger in Section 9 fires. There is no 'target production machine' — by design, not by omission.</w:t>
      </w:r>
    </w:p>
    <w:p>
      <w:pPr>
        <w:spacing w:after="120" w:line="276"/>
      </w:pPr>
      <w:r>
        <w:rPr>
          <w:rFonts w:ascii="Calibri" w:cs="Calibri" w:eastAsia="Calibri" w:hAnsi="Calibri"/>
          <w:sz w:val="21"/>
          <w:szCs w:val="21"/>
        </w:rPr>
        <w:t xml:space="preserve">The two workloads are to be separated rather than consolidated onto new hardware:</w:t>
      </w:r>
    </w:p>
    <w:p>
      <w:pPr>
        <w:pStyle w:val="ListParagraph"/>
        <w:numPr>
          <w:ilvl w:val="0"/>
          <w:numId w:val="1"/>
        </w:numPr>
        <w:spacing w:after="80" w:line="276"/>
      </w:pPr>
      <w:r>
        <w:rPr>
          <w:rFonts w:ascii="Calibri" w:cs="Calibri" w:eastAsia="Calibri" w:hAnsi="Calibri"/>
          <w:sz w:val="21"/>
          <w:szCs w:val="21"/>
        </w:rPr>
        <w:t xml:space="preserve">Public pipeline — migrate to a low-cost VPS. This retires the sleep/wake/misfire problem class permanently, and returns several gigabytes of unified memory to the host, directly relieving the constraint on confidential inference at no hardware cost. Migration is a substantive piece of work (PostgreSQL, FastAPI, scheduler, secrets handling) and requires its own ADR before anything moves.</w:t>
      </w:r>
    </w:p>
    <w:p>
      <w:pPr>
        <w:pStyle w:val="ListParagraph"/>
        <w:spacing w:after="80" w:line="276"/>
      </w:pPr>
      <w:r>
        <w:rPr>
          <w:i/>
          <w:iCs/>
          <w:rFonts w:ascii="Calibri" w:cs="Calibri" w:eastAsia="Calibri" w:hAnsi="Calibri"/>
          <w:sz w:val="21"/>
          <w:szCs w:val="21"/>
        </w:rPr>
        <w:t xml:space="preserve">ADR-047 amendment (September 29, 2026; marked in place September 30, 2026): NOT PURSUED. No VPS exists (operator decision, ADR-047 §12). The pipeline and containers remain on this host; ADR-047 §3 is the operating budget, not an interim one.</w:t>
      </w:r>
    </w:p>
    <w:p>
      <w:pPr>
        <w:pStyle w:val="ListParagraph"/>
        <w:numPr>
          <w:ilvl w:val="0"/>
          <w:numId w:val="1"/>
        </w:numPr>
        <w:spacing w:after="80" w:line="276"/>
      </w:pPr>
      <w:r>
        <w:rPr>
          <w:rFonts w:ascii="Calibri" w:cs="Calibri" w:eastAsia="Calibri" w:hAnsi="Calibri"/>
          <w:sz w:val="21"/>
          <w:szCs w:val="21"/>
        </w:rPr>
        <w:t xml:space="preserve">Confidential inference — remains local on the MacBook Air.</w:t>
      </w:r>
    </w:p>
    <w:p>
      <w:pPr>
        <w:pStyle w:val="ListParagraph"/>
        <w:numPr>
          <w:ilvl w:val="0"/>
          <w:numId w:val="1"/>
        </w:numPr>
        <w:spacing w:after="80" w:line="276"/>
      </w:pPr>
      <w:r>
        <w:rPr>
          <w:rFonts w:ascii="Calibri" w:cs="Calibri" w:eastAsia="Calibri" w:hAnsi="Calibri"/>
          <w:sz w:val="21"/>
          <w:szCs w:val="21"/>
        </w:rPr>
        <w:t xml:space="preserve">Non-confidential heavy reasoning — continues to route to fee-for-service API under the existing Claude Pro subscription.</w:t>
      </w:r>
    </w:p>
    <w:p>
      <w:pPr>
        <w:pStyle w:val="ListParagraph"/>
        <w:spacing w:after="80" w:line="276"/>
      </w:pPr>
      <w:r>
        <w:rPr>
          <w:i/>
          <w:iCs/>
          <w:rFonts w:ascii="Calibri" w:cs="Calibri" w:eastAsia="Calibri" w:hAnsi="Calibri"/>
          <w:sz w:val="21"/>
          <w:szCs w:val="21"/>
        </w:rPr>
        <w:t xml:space="preserve">ADR-047 amendment (September 29, 2026; marked in place September 30, 2026): CORRECTION. A Claude Pro subscription does not include API usage; the API is billed separately. The API path is disabled until a concrete need arises; escalation is explicit, never automatic (ADR-047 §7).</w:t>
      </w:r>
    </w:p>
    <w:p>
      <w:pPr>
        <w:spacing w:after="120" w:line="276"/>
      </w:pPr>
      <w:r>
        <w:rPr>
          <w:rFonts w:ascii="Calibri" w:cs="Calibri" w:eastAsia="Calibri" w:hAnsi="Calibri"/>
          <w:b/>
          <w:bCs/>
          <w:sz w:val="21"/>
          <w:szCs w:val="21"/>
        </w:rPr>
        <w:t xml:space="preserve">Consequential finding — ADR-036 is not implementable as written.</w:t>
      </w:r>
    </w:p>
    <w:p>
      <w:pPr>
        <w:spacing w:after="120" w:line="276"/>
      </w:pPr>
      <w:r>
        <w:rPr>
          <w:rFonts w:ascii="Calibri" w:cs="Calibri" w:eastAsia="Calibri" w:hAnsi="Calibri"/>
          <w:sz w:val="21"/>
          <w:szCs w:val="21"/>
        </w:rPr>
        <w:t xml:space="preserve">ADR-036 (GPU VRAM Allocation Policy, DECIDED April 4, 2026) specifies a LaunchDaemon allocating VRAM with values of 28672 MB for a 32 GB machine and 58982 MB for a 64 GB machine. Both presume a dedicated host that was never acquired. On a 16 GB MacBook Air the policy cannot be applied. ADR-036 must be suspended, amended, or formally superseded; that determination is recorded as an open item rather than made unilaterally here, because ADR-036 is DECIDED policy and its amendment is a separate governance act.</w:t>
      </w:r>
    </w:p>
    <w:p>
      <w:pPr>
        <w:pStyle w:val="Heading1"/>
        <w:spacing w:after="140" w:before="280"/>
      </w:pPr>
      <w:r>
        <w:rPr>
          <w:rFonts w:ascii="Calibri" w:cs="Calibri" w:eastAsia="Calibri" w:hAnsi="Calibri"/>
          <w:b/>
          <w:bCs/>
          <w:color w:val="1F3864"/>
          <w:sz w:val="26"/>
          <w:szCs w:val="26"/>
        </w:rPr>
        <w:t xml:space="preserve">8.  Consequences</w:t>
      </w:r>
    </w:p>
    <w:p>
      <w:pPr>
        <w:spacing w:after="120" w:line="276"/>
      </w:pPr>
      <w:r>
        <w:rPr>
          <w:rFonts w:ascii="Calibri" w:cs="Calibri" w:eastAsia="Calibri" w:hAnsi="Calibri"/>
          <w:b/>
          <w:bCs/>
          <w:sz w:val="21"/>
          <w:szCs w:val="21"/>
        </w:rPr>
        <w:t xml:space="preserve">Accepted — positive:</w:t>
      </w:r>
    </w:p>
    <w:p>
      <w:pPr>
        <w:pStyle w:val="ListParagraph"/>
        <w:numPr>
          <w:ilvl w:val="0"/>
          <w:numId w:val="1"/>
        </w:numPr>
        <w:spacing w:after="80" w:line="276"/>
      </w:pPr>
      <w:r>
        <w:rPr>
          <w:rFonts w:ascii="Calibri" w:cs="Calibri" w:eastAsia="Calibri" w:hAnsi="Calibri"/>
          <w:sz w:val="21"/>
          <w:szCs w:val="21"/>
        </w:rPr>
        <w:t xml:space="preserve">$1,500 of capital not committed to a depreciating asset with a shortening support window.</w:t>
      </w:r>
    </w:p>
    <w:p>
      <w:pPr>
        <w:pStyle w:val="ListParagraph"/>
        <w:numPr>
          <w:ilvl w:val="0"/>
          <w:numId w:val="1"/>
        </w:numPr>
        <w:spacing w:after="80" w:line="276"/>
      </w:pPr>
      <w:r>
        <w:rPr>
          <w:rFonts w:ascii="Calibri" w:cs="Calibri" w:eastAsia="Calibri" w:hAnsi="Calibri"/>
          <w:sz w:val="21"/>
          <w:szCs w:val="21"/>
        </w:rPr>
        <w:t xml:space="preserve">No migration of a working production system onto unfamiliar hardware.</w:t>
      </w:r>
    </w:p>
    <w:p>
      <w:pPr>
        <w:pStyle w:val="ListParagraph"/>
        <w:numPr>
          <w:ilvl w:val="0"/>
          <w:numId w:val="1"/>
        </w:numPr>
        <w:spacing w:after="80" w:line="276"/>
      </w:pPr>
      <w:r>
        <w:rPr>
          <w:rFonts w:ascii="Calibri" w:cs="Calibri" w:eastAsia="Calibri" w:hAnsi="Calibri"/>
          <w:sz w:val="21"/>
          <w:szCs w:val="21"/>
        </w:rPr>
        <w:t xml:space="preserve">The documented platform now matches the actual platform, closing a long-standing inconsistency.</w:t>
      </w:r>
    </w:p>
    <w:p>
      <w:pPr>
        <w:spacing w:after="120" w:line="276"/>
      </w:pPr>
      <w:r>
        <w:rPr>
          <w:rFonts w:ascii="Calibri" w:cs="Calibri" w:eastAsia="Calibri" w:hAnsi="Calibri"/>
          <w:b/>
          <w:bCs/>
          <w:sz w:val="21"/>
          <w:szCs w:val="21"/>
        </w:rPr>
        <w:t xml:space="preserve">Accepted — negative:</w:t>
      </w:r>
    </w:p>
    <w:p>
      <w:pPr>
        <w:pStyle w:val="ListParagraph"/>
        <w:numPr>
          <w:ilvl w:val="0"/>
          <w:numId w:val="1"/>
        </w:numPr>
        <w:spacing w:after="80" w:line="276"/>
      </w:pPr>
      <w:r>
        <w:rPr>
          <w:rFonts w:ascii="Calibri" w:cs="Calibri" w:eastAsia="Calibri" w:hAnsi="Calibri"/>
          <w:sz w:val="21"/>
          <w:szCs w:val="21"/>
        </w:rPr>
        <w:t xml:space="preserve">Token generation remains slow at approximately 68 GB/s memory bandwidth.</w:t>
      </w:r>
    </w:p>
    <w:p>
      <w:pPr>
        <w:pStyle w:val="ListParagraph"/>
        <w:numPr>
          <w:ilvl w:val="0"/>
          <w:numId w:val="1"/>
        </w:numPr>
        <w:spacing w:after="80" w:line="276"/>
      </w:pPr>
      <w:r>
        <w:rPr>
          <w:rFonts w:ascii="Calibri" w:cs="Calibri" w:eastAsia="Calibri" w:hAnsi="Calibri"/>
          <w:sz w:val="21"/>
          <w:szCs w:val="21"/>
        </w:rPr>
        <w:t xml:space="preserve">The fanless chassis throttles under sustained inference load.</w:t>
      </w:r>
    </w:p>
    <w:p>
      <w:pPr>
        <w:pStyle w:val="ListParagraph"/>
        <w:numPr>
          <w:ilvl w:val="0"/>
          <w:numId w:val="1"/>
        </w:numPr>
        <w:spacing w:after="80" w:line="276"/>
      </w:pPr>
      <w:r>
        <w:rPr>
          <w:rFonts w:ascii="Calibri" w:cs="Calibri" w:eastAsia="Calibri" w:hAnsi="Calibri"/>
          <w:sz w:val="21"/>
          <w:szCs w:val="21"/>
        </w:rPr>
        <w:t xml:space="preserve">Models above roughly 8B parameters at usable quantisation remain out of reach; 70B-class inference is not available locally.</w:t>
      </w:r>
    </w:p>
    <w:p>
      <w:pPr>
        <w:pStyle w:val="ListParagraph"/>
        <w:numPr>
          <w:ilvl w:val="0"/>
          <w:numId w:val="1"/>
        </w:numPr>
        <w:spacing w:after="80" w:line="276"/>
      </w:pPr>
      <w:r>
        <w:rPr>
          <w:rFonts w:ascii="Calibri" w:cs="Calibri" w:eastAsia="Calibri" w:hAnsi="Calibri"/>
          <w:sz w:val="21"/>
          <w:szCs w:val="21"/>
        </w:rPr>
        <w:t xml:space="preserve">Context length is the first constraint likely to bite, as it is bounded by available memory rather than by model choice. Long-document reasoning over personal financial or IP material is the workload most likely to expose this.</w:t>
      </w:r>
    </w:p>
    <w:p>
      <w:pPr>
        <w:pStyle w:val="Heading1"/>
        <w:spacing w:after="140" w:before="280"/>
      </w:pPr>
      <w:r>
        <w:rPr>
          <w:rFonts w:ascii="Calibri" w:cs="Calibri" w:eastAsia="Calibri" w:hAnsi="Calibri"/>
          <w:b/>
          <w:bCs/>
          <w:color w:val="1F3864"/>
          <w:sz w:val="26"/>
          <w:szCs w:val="26"/>
        </w:rPr>
        <w:t xml:space="preserve">9.  Revisit Triggers</w:t>
      </w:r>
    </w:p>
    <w:p>
      <w:pPr>
        <w:spacing w:after="120" w:line="276"/>
      </w:pPr>
      <w:r>
        <w:rPr>
          <w:rFonts w:ascii="Calibri" w:cs="Calibri" w:eastAsia="Calibri" w:hAnsi="Calibri"/>
          <w:sz w:val="21"/>
          <w:szCs w:val="21"/>
        </w:rPr>
        <w:t xml:space="preserve">This decision is to be reopened if any of the following occur:</w:t>
      </w:r>
    </w:p>
    <w:p>
      <w:pPr>
        <w:pStyle w:val="ListParagraph"/>
        <w:numPr>
          <w:ilvl w:val="0"/>
          <w:numId w:val="1"/>
        </w:numPr>
        <w:spacing w:after="80" w:line="276"/>
      </w:pPr>
      <w:r>
        <w:rPr>
          <w:rFonts w:ascii="Calibri" w:cs="Calibri" w:eastAsia="Calibri" w:hAnsi="Calibri"/>
          <w:sz w:val="21"/>
          <w:szCs w:val="21"/>
        </w:rPr>
        <w:t xml:space="preserve">Confidential work frequency rises to weekly or more.</w:t>
      </w:r>
    </w:p>
    <w:p>
      <w:pPr>
        <w:pStyle w:val="ListParagraph"/>
        <w:numPr>
          <w:ilvl w:val="0"/>
          <w:numId w:val="1"/>
        </w:numPr>
        <w:spacing w:after="80" w:line="276"/>
      </w:pPr>
      <w:r>
        <w:rPr>
          <w:rFonts w:ascii="Calibri" w:cs="Calibri" w:eastAsia="Calibri" w:hAnsi="Calibri"/>
          <w:sz w:val="21"/>
          <w:szCs w:val="21"/>
        </w:rPr>
        <w:t xml:space="preserve">A specific, identified task cannot be completed on the current hardware — long-document reasoning is the most probable candidate.</w:t>
      </w:r>
    </w:p>
    <w:p>
      <w:pPr>
        <w:pStyle w:val="ListParagraph"/>
        <w:numPr>
          <w:ilvl w:val="0"/>
          <w:numId w:val="1"/>
        </w:numPr>
        <w:spacing w:after="80" w:line="276"/>
      </w:pPr>
      <w:r>
        <w:rPr>
          <w:rFonts w:ascii="Calibri" w:cs="Calibri" w:eastAsia="Calibri" w:hAnsi="Calibri"/>
          <w:sz w:val="21"/>
          <w:szCs w:val="21"/>
        </w:rPr>
        <w:t xml:space="preserve">The VPS migration completes and the freed memory proves insufficient to raise NUM_CTX to a workable level.</w:t>
      </w:r>
    </w:p>
    <w:p>
      <w:pPr>
        <w:pStyle w:val="ListParagraph"/>
        <w:spacing w:after="80" w:line="276"/>
      </w:pPr>
      <w:r>
        <w:rPr>
          <w:i/>
          <w:iCs/>
          <w:rFonts w:ascii="Calibri" w:cs="Calibri" w:eastAsia="Calibri" w:hAnsi="Calibri"/>
          <w:sz w:val="21"/>
          <w:szCs w:val="21"/>
        </w:rPr>
        <w:t xml:space="preserve">ADR-047 amendment (September 29, 2026; marked in place September 30, 2026): moot while the VPS migration is not pursued.</w:t>
      </w:r>
    </w:p>
    <w:p>
      <w:pPr>
        <w:pStyle w:val="ListParagraph"/>
        <w:numPr>
          <w:ilvl w:val="0"/>
          <w:numId w:val="1"/>
        </w:numPr>
        <w:spacing w:after="80" w:line="276"/>
      </w:pPr>
      <w:r>
        <w:rPr>
          <w:rFonts w:ascii="Calibri" w:cs="Calibri" w:eastAsia="Calibri" w:hAnsi="Calibri"/>
          <w:sz w:val="21"/>
          <w:szCs w:val="21"/>
        </w:rPr>
        <w:t xml:space="preserve">Hardware failure, or the MacBook Air passing out of macOS support.</w:t>
      </w:r>
    </w:p>
    <w:p>
      <w:pPr>
        <w:pStyle w:val="Heading1"/>
        <w:spacing w:after="140" w:before="280"/>
      </w:pPr>
      <w:r>
        <w:rPr>
          <w:rFonts w:ascii="Calibri" w:cs="Calibri" w:eastAsia="Calibri" w:hAnsi="Calibri"/>
          <w:b/>
          <w:bCs/>
          <w:color w:val="1F3864"/>
          <w:sz w:val="26"/>
          <w:szCs w:val="26"/>
        </w:rPr>
        <w:t xml:space="preserve">10.  Open Items</w:t>
      </w:r>
    </w:p>
    <w:p>
      <w:pPr>
        <w:pStyle w:val="ListParagraph"/>
        <w:numPr>
          <w:ilvl w:val="0"/>
          <w:numId w:val="1"/>
        </w:numPr>
        <w:spacing w:after="80" w:line="276"/>
      </w:pPr>
      <w:r>
        <w:rPr>
          <w:rFonts w:ascii="Calibri" w:cs="Calibri" w:eastAsia="Calibri" w:hAnsi="Calibri"/>
          <w:sz w:val="21"/>
          <w:szCs w:val="21"/>
        </w:rPr>
        <w:t xml:space="preserve">ADR-036 disposition — suspend, amend, or supersede. Required; the policy currently references hardware that does not exist.</w:t>
      </w:r>
    </w:p>
    <w:p>
      <w:pPr>
        <w:pStyle w:val="ListParagraph"/>
        <w:numPr>
          <w:ilvl w:val="0"/>
          <w:numId w:val="1"/>
        </w:numPr>
        <w:spacing w:after="80" w:line="276"/>
      </w:pPr>
      <w:r>
        <w:rPr>
          <w:rFonts w:ascii="Calibri" w:cs="Calibri" w:eastAsia="Calibri" w:hAnsi="Calibri"/>
          <w:sz w:val="21"/>
          <w:szCs w:val="21"/>
        </w:rPr>
        <w:t xml:space="preserve">VPS migration ADR — scope, provider, secrets handling, and cutover plan for the public pipeline.</w:t>
      </w:r>
    </w:p>
    <w:p>
      <w:pPr>
        <w:pStyle w:val="ListParagraph"/>
        <w:spacing w:after="80" w:line="276"/>
      </w:pPr>
      <w:r>
        <w:rPr>
          <w:i/>
          <w:iCs/>
          <w:rFonts w:ascii="Calibri" w:cs="Calibri" w:eastAsia="Calibri" w:hAnsi="Calibri"/>
          <w:sz w:val="21"/>
          <w:szCs w:val="21"/>
        </w:rPr>
        <w:t xml:space="preserve">ADR-047 amendment (September 29, 2026; marked in place September 30, 2026): CLOSED — not pursued.</w:t>
      </w:r>
    </w:p>
    <w:p>
      <w:pPr>
        <w:pStyle w:val="ListParagraph"/>
        <w:numPr>
          <w:ilvl w:val="0"/>
          <w:numId w:val="1"/>
        </w:numPr>
        <w:spacing w:after="80" w:line="276"/>
      </w:pPr>
      <w:r>
        <w:rPr>
          <w:rFonts w:ascii="Calibri" w:cs="Calibri" w:eastAsia="Calibri" w:hAnsi="Calibri"/>
          <w:sz w:val="21"/>
          <w:szCs w:val="21"/>
        </w:rPr>
        <w:t xml:space="preserve">Local model refresh — gemma4:e4b is five months old as of this decision. A current model in the same size class is likely to yield a greater quality improvement for confidential work than any hardware considered here, at no cost. To be tested before any purchase is reconsidered.</w:t>
      </w:r>
    </w:p>
    <w:p>
      <w:pPr>
        <w:pStyle w:val="ListParagraph"/>
        <w:spacing w:after="80" w:line="276"/>
      </w:pPr>
      <w:r>
        <w:rPr>
          <w:i/>
          <w:iCs/>
          <w:rFonts w:ascii="Calibri" w:cs="Calibri" w:eastAsia="Calibri" w:hAnsi="Calibri"/>
          <w:sz w:val="21"/>
          <w:szCs w:val="21"/>
        </w:rPr>
        <w:t xml:space="preserve">ADR-047 amendment (September 29, 2026; marked in place September 30, 2026): DONE — bake-off recorded in ADR-047 §14. gemma4:e4b retained, thinking off, for both briefs and chat (September 30, 2026 note).</w:t>
      </w:r>
    </w:p>
    <w:p>
      <w:pPr>
        <w:pBdr>
          <w:top w:val="single" w:color="CCCCCC" w:sz="6" w:space="8"/>
        </w:pBdr>
        <w:spacing w:before="360"/>
      </w:pPr>
      <w:r>
        <w:rPr>
          <w:rFonts w:ascii="Calibri" w:cs="Calibri" w:eastAsia="Calibri" w:hAnsi="Calibri"/>
          <w:i/>
          <w:iCs/>
          <w:color w:val="777777"/>
          <w:sz w:val="18"/>
          <w:szCs w:val="18"/>
        </w:rPr>
        <w:t xml:space="preserve">Sheldon Wheeler — OpenClaw Personal Stack — ADR-043 — Decided September 20, 2026; amended September 29, 2026 (ADR-047)</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ADR-043 — Production Host Platform</dc:title>
  <dc:creator>Sheldon Wheeler</dc:creator>
  <cp:lastModifiedBy>Un-named</cp:lastModifiedBy>
  <cp:revision>1</cp:revision>
  <dcterms:created xsi:type="dcterms:W3CDTF">2026-09-20T12:24:16.483Z</dcterms:created>
  <dcterms:modified xsi:type="dcterms:W3CDTF">2026-09-20T12:24:16.488Z</dcterms:modified>
</cp:coreProperties>
</file>

<file path=docProps/custom.xml><?xml version="1.0" encoding="utf-8"?>
<Properties xmlns="http://schemas.openxmlformats.org/officeDocument/2006/custom-properties" xmlns:vt="http://schemas.openxmlformats.org/officeDocument/2006/docPropsVTypes"/>
</file>