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spacing w:before="0" w:after="40"/>
      </w:pPr>
      <w:r>
        <w:rPr>
          <w:rFonts w:ascii="Calibri" w:hAnsi="Calibri" w:cs="Calibri"/>
          <w:b/>
          <w:sz w:val="32"/>
        </w:rPr>
        <w:t xml:space="preserve">ADR-048</w:t>
      </w:r>
    </w:p>
    <w:p>
      <w:pPr>
        <w:spacing w:before="0" w:after="100"/>
      </w:pPr>
      <w:r>
        <w:rPr>
          <w:rFonts w:ascii="Calibri" w:hAnsi="Calibri" w:cs="Calibri"/>
          <w:b/>
          <w:sz w:val="21"/>
        </w:rPr>
        <w:t xml:space="preserve">IT Governance Section — Federal Safeguarding Requirements (SSA, CMS, IRS)</w:t>
      </w:r>
    </w:p>
    <w:p>
      <w:pPr>
        <w:spacing w:before="0" w:after="100"/>
      </w:pPr>
      <w:r>
        <w:rPr>
          <w:rFonts w:ascii="Calibri" w:hAnsi="Calibri" w:cs="Calibri"/>
          <w:color w:val="555555"/>
          <w:sz w:val="19"/>
        </w:rPr>
        <w:t xml:space="preserve">OpenClaw — Phase 1 | Drafted September 30, 2026 | Status PROPOSED — Part A APPROVED</w:t>
      </w:r>
    </w:p>
    <w:p>
      <w:pPr>
        <w:spacing w:before="240" w:after="80"/>
      </w:pPr>
      <w:r>
        <w:rPr>
          <w:rFonts w:ascii="Calibri" w:hAnsi="Calibri" w:cs="Calibri"/>
          <w:b/>
          <w:sz w:val="26"/>
        </w:rPr>
        <w:t xml:space="preserve">1. Decision Record</w:t>
      </w:r>
    </w:p>
    <w:tbl>
      <w:tblPr>
        <w:tblW w:w="1008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80" w:type="dxa"/>
          <w:right w:w="80" w:type="dxa"/>
        </w:tblCellMar>
      </w:tblPr>
      <w:tblGrid>
        <w:gridCol w:w="2822"/>
        <w:gridCol w:w="7258"/>
      </w:tblGrid>
      <w:tr>
        <w:tc>
          <w:tcPr>
            <w:tcW w:w="2822" w:type="dxa"/>
            <w:shd w:val="clear" w:color="auto" w:fill="F2F2F2"/>
          </w:tcPr>
          <w:p>
            <w:pPr>
              <w:spacing w:before="0" w:after="0"/>
            </w:pPr>
            <w:r>
              <w:rPr>
                <w:rFonts w:ascii="Calibri" w:hAnsi="Calibri" w:cs="Calibri"/>
                <w:b/>
                <w:sz w:val="20"/>
              </w:rPr>
              <w:t xml:space="preserve">ADR Number</w:t>
            </w:r>
          </w:p>
        </w:tc>
        <w:tc>
          <w:tcPr>
            <w:tcW w:w="7258" w:type="dxa"/>
          </w:tcPr>
          <w:p>
            <w:pPr>
              <w:spacing w:before="0" w:after="0"/>
            </w:pPr>
            <w:r>
              <w:rPr>
                <w:rFonts w:ascii="Calibri" w:hAnsi="Calibri" w:cs="Calibri"/>
                <w:sz w:val="20"/>
              </w:rPr>
              <w:t xml:space="preserve">ADR-048</w:t>
            </w:r>
          </w:p>
        </w:tc>
      </w:tr>
      <w:tr>
        <w:tc>
          <w:tcPr>
            <w:tcW w:w="2822" w:type="dxa"/>
            <w:shd w:val="clear" w:color="auto" w:fill="F2F2F2"/>
          </w:tcPr>
          <w:p>
            <w:pPr>
              <w:spacing w:before="0" w:after="0"/>
            </w:pPr>
            <w:r>
              <w:rPr>
                <w:rFonts w:ascii="Calibri" w:hAnsi="Calibri" w:cs="Calibri"/>
                <w:b/>
                <w:sz w:val="20"/>
              </w:rPr>
              <w:t xml:space="preserve">Title</w:t>
            </w:r>
          </w:p>
        </w:tc>
        <w:tc>
          <w:tcPr>
            <w:tcW w:w="7258" w:type="dxa"/>
          </w:tcPr>
          <w:p>
            <w:pPr>
              <w:spacing w:before="0" w:after="0"/>
            </w:pPr>
            <w:r>
              <w:rPr>
                <w:rFonts w:ascii="Calibri" w:hAnsi="Calibri" w:cs="Calibri"/>
                <w:sz w:val="20"/>
              </w:rPr>
              <w:t xml:space="preserve">IT Governance Section — Federal Safeguarding Requirements (SSA, CMS, IRS)</w:t>
            </w:r>
          </w:p>
        </w:tc>
      </w:tr>
      <w:tr>
        <w:tc>
          <w:tcPr>
            <w:tcW w:w="2822" w:type="dxa"/>
            <w:shd w:val="clear" w:color="auto" w:fill="F2F2F2"/>
          </w:tcPr>
          <w:p>
            <w:pPr>
              <w:spacing w:before="0" w:after="0"/>
            </w:pPr>
            <w:r>
              <w:rPr>
                <w:rFonts w:ascii="Calibri" w:hAnsi="Calibri" w:cs="Calibri"/>
                <w:b/>
                <w:sz w:val="20"/>
              </w:rPr>
              <w:t xml:space="preserve">Status</w:t>
            </w:r>
          </w:p>
        </w:tc>
        <w:tc>
          <w:tcPr>
            <w:tcW w:w="7258" w:type="dxa"/>
          </w:tcPr>
          <w:p>
            <w:pPr>
              <w:spacing w:before="0" w:after="0"/>
            </w:pPr>
            <w:r>
              <w:rPr>
                <w:rFonts w:ascii="Calibri" w:hAnsi="Calibri" w:cs="Calibri"/>
                <w:sz w:val="20"/>
              </w:rPr>
              <w:t xml:space="preserve">PROPOSED — September 30, 2026, drafted after an operator-approved retrieval pass (Entry #050). Part A APPROVED the same day (Section 9); Part B not yet approved (needs the ADR-014 §7 amendment).</w:t>
            </w:r>
          </w:p>
        </w:tc>
      </w:tr>
      <w:tr>
        <w:tc>
          <w:tcPr>
            <w:tcW w:w="2822" w:type="dxa"/>
            <w:shd w:val="clear" w:color="auto" w:fill="F2F2F2"/>
          </w:tcPr>
          <w:p>
            <w:pPr>
              <w:spacing w:before="0" w:after="0"/>
            </w:pPr>
            <w:r>
              <w:rPr>
                <w:rFonts w:ascii="Calibri" w:hAnsi="Calibri" w:cs="Calibri"/>
                <w:b/>
                <w:sz w:val="20"/>
              </w:rPr>
              <w:t xml:space="preserve">Deciders</w:t>
            </w:r>
          </w:p>
        </w:tc>
        <w:tc>
          <w:tcPr>
            <w:tcW w:w="7258" w:type="dxa"/>
          </w:tcPr>
          <w:p>
            <w:pPr>
              <w:spacing w:before="0" w:after="0"/>
            </w:pPr>
            <w:r>
              <w:rPr>
                <w:rFonts w:ascii="Calibri" w:hAnsi="Calibri" w:cs="Calibri"/>
                <w:sz w:val="20"/>
              </w:rPr>
              <w:t xml:space="preserve">Sheldon Wheeler (owner, sole operator)</w:t>
            </w:r>
          </w:p>
        </w:tc>
      </w:tr>
      <w:tr>
        <w:tc>
          <w:tcPr>
            <w:tcW w:w="2822" w:type="dxa"/>
            <w:shd w:val="clear" w:color="auto" w:fill="F2F2F2"/>
          </w:tcPr>
          <w:p>
            <w:pPr>
              <w:spacing w:before="0" w:after="0"/>
            </w:pPr>
            <w:r>
              <w:rPr>
                <w:rFonts w:ascii="Calibri" w:hAnsi="Calibri" w:cs="Calibri"/>
                <w:b/>
                <w:sz w:val="20"/>
              </w:rPr>
              <w:t xml:space="preserve">Trigger</w:t>
            </w:r>
          </w:p>
        </w:tc>
        <w:tc>
          <w:tcPr>
            <w:tcW w:w="7258" w:type="dxa"/>
          </w:tcPr>
          <w:p>
            <w:pPr>
              <w:spacing w:before="0" w:after="0"/>
            </w:pPr>
            <w:r>
              <w:rPr>
                <w:rFonts w:ascii="Calibri" w:hAnsi="Calibri" w:cs="Calibri"/>
                <w:sz w:val="20"/>
              </w:rPr>
              <w:t xml:space="preserve">Operator direction, September 30, 2026: add an IT Governance section to federal_policy_brief covering SSA's TSSR and safeguarding requirements, CMS ARC-AMPE, IRS Publication 1075, and the governing federal statutes and CFR parts of the three agencies.</w:t>
            </w:r>
          </w:p>
        </w:tc>
      </w:tr>
      <w:tr>
        <w:tc>
          <w:tcPr>
            <w:tcW w:w="2822" w:type="dxa"/>
            <w:shd w:val="clear" w:color="auto" w:fill="F2F2F2"/>
          </w:tcPr>
          <w:p>
            <w:pPr>
              <w:spacing w:before="0" w:after="0"/>
            </w:pPr>
            <w:r>
              <w:rPr>
                <w:rFonts w:ascii="Calibri" w:hAnsi="Calibri" w:cs="Calibri"/>
                <w:b/>
                <w:sz w:val="20"/>
              </w:rPr>
              <w:t xml:space="preserve">Amends (on approval)</w:t>
            </w:r>
          </w:p>
        </w:tc>
        <w:tc>
          <w:tcPr>
            <w:tcW w:w="7258" w:type="dxa"/>
          </w:tcPr>
          <w:p>
            <w:pPr>
              <w:spacing w:before="0" w:after="0"/>
            </w:pPr>
            <w:r>
              <w:rPr>
                <w:rFonts w:ascii="Calibri" w:hAnsi="Calibri" w:cs="Calibri"/>
                <w:sz w:val="20"/>
              </w:rPr>
              <w:t xml:space="preserve">ADR-014 §7 (auto-mode outbound list — Part B only); federal_policy_brief_DECISIONS.md (section list). Relates to ADR-047 (one more model call per brief, inside the §3 budget).</w:t>
            </w:r>
          </w:p>
        </w:tc>
      </w:tr>
      <w:tr>
        <w:tc>
          <w:tcPr>
            <w:tcW w:w="2822" w:type="dxa"/>
            <w:shd w:val="clear" w:color="auto" w:fill="F2F2F2"/>
          </w:tcPr>
          <w:p>
            <w:pPr>
              <w:spacing w:before="0" w:after="0"/>
            </w:pPr>
            <w:r>
              <w:rPr>
                <w:rFonts w:ascii="Calibri" w:hAnsi="Calibri" w:cs="Calibri"/>
                <w:b/>
                <w:sz w:val="20"/>
              </w:rPr>
              <w:t xml:space="preserve">NIST Controls</w:t>
            </w:r>
          </w:p>
        </w:tc>
        <w:tc>
          <w:tcPr>
            <w:tcW w:w="7258" w:type="dxa"/>
          </w:tcPr>
          <w:p>
            <w:pPr>
              <w:spacing w:before="0" w:after="0"/>
            </w:pPr>
            <w:r>
              <w:rPr>
                <w:rFonts w:ascii="Calibri" w:hAnsi="Calibri" w:cs="Calibri"/>
                <w:sz w:val="20"/>
              </w:rPr>
              <w:t xml:space="preserve">None claimed. The section reports on external requirements; it does not implement a control on this host.</w:t>
            </w:r>
          </w:p>
        </w:tc>
      </w:tr>
      <w:tr>
        <w:tc>
          <w:tcPr>
            <w:tcW w:w="2822" w:type="dxa"/>
            <w:shd w:val="clear" w:color="auto" w:fill="F2F2F2"/>
          </w:tcPr>
          <w:p>
            <w:pPr>
              <w:spacing w:before="0" w:after="0"/>
            </w:pPr>
            <w:r>
              <w:rPr>
                <w:rFonts w:ascii="Calibri" w:hAnsi="Calibri" w:cs="Calibri"/>
                <w:b/>
                <w:sz w:val="20"/>
              </w:rPr>
              <w:t xml:space="preserve">Phase Scope</w:t>
            </w:r>
          </w:p>
        </w:tc>
        <w:tc>
          <w:tcPr>
            <w:tcW w:w="7258" w:type="dxa"/>
          </w:tcPr>
          <w:p>
            <w:pPr>
              <w:spacing w:before="0" w:after="0"/>
            </w:pPr>
            <w:r>
              <w:rPr>
                <w:rFonts w:ascii="Calibri" w:hAnsi="Calibri" w:cs="Calibri"/>
                <w:sz w:val="20"/>
              </w:rPr>
              <w:t xml:space="preserve">Phase 1. Part A needs no new outbound access and can be built and tested first. Part B needs the ADR-014 §7 amendment.</w:t>
            </w:r>
          </w:p>
        </w:tc>
      </w:tr>
    </w:tbl>
    <w:p>
      <w:pPr>
        <w:spacing w:before="240" w:after="80"/>
      </w:pPr>
      <w:r>
        <w:rPr>
          <w:rFonts w:ascii="Calibri" w:hAnsi="Calibri" w:cs="Calibri"/>
          <w:b/>
          <w:sz w:val="26"/>
        </w:rPr>
        <w:t xml:space="preserve">2. Context and Scope</w:t>
      </w:r>
    </w:p>
    <w:p>
      <w:pPr>
        <w:spacing w:before="0" w:after="100"/>
      </w:pPr>
      <w:r>
        <w:rPr>
          <w:rFonts w:ascii="Calibri" w:hAnsi="Calibri" w:cs="Calibri"/>
          <w:sz w:val="21"/>
        </w:rPr>
        <w:t xml:space="preserve">The brief's audience is state health and human services leadership and policy staff. Three federal frameworks govern how such agencies must protect data they receive from federal partners: IRS Publication 1075 (federal tax information), CMS ARC-AMPE (Exchange and Medicaid PII), and SSA's TSSR (SSA-provided information). Changes to them, and to the statutes and regulations behind them, are policy events the audience must act on. The current brief does not track them.</w:t>
      </w:r>
    </w:p>
    <w:p>
      <w:pPr>
        <w:spacing w:before="0" w:after="100"/>
      </w:pPr>
      <w:r>
        <w:rPr>
          <w:rFonts w:ascii="Calibri" w:hAnsi="Calibri" w:cs="Calibri"/>
          <w:sz w:val="21"/>
        </w:rPr>
        <w:t xml:space="preserve">Scope limits. Public federal material only. No state-agency, employer or operator work product enters the pipeline (project instructions, Identity and Ownership; ADR-043 §5). Every citation in this ADR and in the source register was retrieved on September 30, 2026 from the source named; none is from memory. Verify at the source before any citation is used in a formal document.</w:t>
      </w:r>
    </w:p>
    <w:p>
      <w:pPr>
        <w:spacing w:before="240" w:after="80"/>
      </w:pPr>
      <w:r>
        <w:rPr>
          <w:rFonts w:ascii="Calibri" w:hAnsi="Calibri" w:cs="Calibri"/>
          <w:b/>
          <w:sz w:val="26"/>
        </w:rPr>
        <w:t xml:space="preserve">3. Source Register (verified September 30, 2026)</w:t>
      </w:r>
    </w:p>
    <w:p>
      <w:pPr>
        <w:spacing w:before="0" w:after="100"/>
      </w:pPr>
      <w:r>
        <w:rPr>
          <w:rFonts w:ascii="Calibri" w:hAnsi="Calibri" w:cs="Calibri"/>
          <w:sz w:val="21"/>
        </w:rPr>
        <w:t xml:space="preserve">Tracked as agents/prototype/projects/federal_policy_brief/it_governance_sources.json. That file, not this table, is what the code reads.</w:t>
      </w:r>
    </w:p>
    <w:tbl>
      <w:tblPr>
        <w:tblW w:w="1008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80" w:type="dxa"/>
          <w:right w:w="80" w:type="dxa"/>
        </w:tblCellMar>
      </w:tblPr>
      <w:tblGrid>
        <w:gridCol w:w="2100"/>
        <w:gridCol w:w="2900"/>
        <w:gridCol w:w="2780"/>
        <w:gridCol w:w="2300"/>
      </w:tblGrid>
      <w:tr>
        <w:tc>
          <w:tcPr>
            <w:tcW w:w="2100" w:type="dxa"/>
            <w:shd w:val="clear" w:color="auto" w:fill="F2F2F2"/>
          </w:tcPr>
          <w:p>
            <w:pPr>
              <w:spacing w:before="0" w:after="0"/>
            </w:pPr>
            <w:r>
              <w:rPr>
                <w:rFonts w:ascii="Calibri" w:hAnsi="Calibri" w:cs="Calibri"/>
                <w:b/>
                <w:sz w:val="20"/>
              </w:rPr>
              <w:t xml:space="preserve">Framework</w:t>
            </w:r>
          </w:p>
        </w:tc>
        <w:tc>
          <w:tcPr>
            <w:tcW w:w="2900" w:type="dxa"/>
            <w:shd w:val="clear" w:color="auto" w:fill="F2F2F2"/>
          </w:tcPr>
          <w:p>
            <w:pPr>
              <w:spacing w:before="0" w:after="0"/>
            </w:pPr>
            <w:r>
              <w:rPr>
                <w:rFonts w:ascii="Calibri" w:hAnsi="Calibri" w:cs="Calibri"/>
                <w:b/>
                <w:sz w:val="20"/>
              </w:rPr>
              <w:t xml:space="preserve">Version as retrieved</w:t>
            </w:r>
          </w:p>
        </w:tc>
        <w:tc>
          <w:tcPr>
            <w:tcW w:w="2780" w:type="dxa"/>
            <w:shd w:val="clear" w:color="auto" w:fill="F2F2F2"/>
          </w:tcPr>
          <w:p>
            <w:pPr>
              <w:spacing w:before="0" w:after="0"/>
            </w:pPr>
            <w:r>
              <w:rPr>
                <w:rFonts w:ascii="Calibri" w:hAnsi="Calibri" w:cs="Calibri"/>
                <w:b/>
                <w:sz w:val="20"/>
              </w:rPr>
              <w:t xml:space="preserve">Where</w:t>
            </w:r>
          </w:p>
        </w:tc>
        <w:tc>
          <w:tcPr>
            <w:tcW w:w="2300" w:type="dxa"/>
            <w:shd w:val="clear" w:color="auto" w:fill="F2F2F2"/>
          </w:tcPr>
          <w:p>
            <w:pPr>
              <w:spacing w:before="0" w:after="0"/>
            </w:pPr>
            <w:r>
              <w:rPr>
                <w:rFonts w:ascii="Calibri" w:hAnsi="Calibri" w:cs="Calibri"/>
                <w:b/>
                <w:sz w:val="20"/>
              </w:rPr>
              <w:t xml:space="preserve">Automated monitoring</w:t>
            </w:r>
          </w:p>
        </w:tc>
      </w:tr>
      <w:tr>
        <w:tc>
          <w:tcPr>
            <w:tcW w:w="2100" w:type="dxa"/>
          </w:tcPr>
          <w:p>
            <w:pPr>
              <w:spacing w:before="0" w:after="0"/>
            </w:pPr>
            <w:r>
              <w:rPr>
                <w:rFonts w:ascii="Calibri" w:hAnsi="Calibri" w:cs="Calibri"/>
                <w:sz w:val="20"/>
              </w:rPr>
              <w:t xml:space="preserve">IRS Publication 1075</w:t>
            </w:r>
          </w:p>
        </w:tc>
        <w:tc>
          <w:tcPr>
            <w:tcW w:w="2900" w:type="dxa"/>
          </w:tcPr>
          <w:p>
            <w:pPr>
              <w:spacing w:before="0" w:after="0"/>
            </w:pPr>
            <w:r>
              <w:rPr>
                <w:rFonts w:ascii="Calibri" w:hAnsi="Calibri" w:cs="Calibri"/>
                <w:sz w:val="20"/>
              </w:rPr>
              <w:t xml:space="preserve">Rev. 11-2021 (Catalog 46937O)</w:t>
            </w:r>
          </w:p>
        </w:tc>
        <w:tc>
          <w:tcPr>
            <w:tcW w:w="2780" w:type="dxa"/>
          </w:tcPr>
          <w:p>
            <w:pPr>
              <w:spacing w:before="0" w:after="0"/>
            </w:pPr>
            <w:r>
              <w:rPr>
                <w:rFonts w:ascii="Calibri" w:hAnsi="Calibri" w:cs="Calibri"/>
                <w:sz w:val="20"/>
              </w:rPr>
              <w:t xml:space="preserve">irs.gov PDF; HTTP Last-Modified 10 Dec 2021</w:t>
            </w:r>
          </w:p>
        </w:tc>
        <w:tc>
          <w:tcPr>
            <w:tcW w:w="2300" w:type="dxa"/>
          </w:tcPr>
          <w:p>
            <w:pPr>
              <w:spacing w:before="0" w:after="0"/>
            </w:pPr>
            <w:r>
              <w:rPr>
                <w:rFonts w:ascii="Calibri" w:hAnsi="Calibri" w:cs="Calibri"/>
                <w:sz w:val="20"/>
              </w:rPr>
              <w:t xml:space="preserve">Yes — Last-Modified + SHA-256</w:t>
            </w:r>
          </w:p>
        </w:tc>
      </w:tr>
      <w:tr>
        <w:tc>
          <w:tcPr>
            <w:tcW w:w="2100" w:type="dxa"/>
          </w:tcPr>
          <w:p>
            <w:pPr>
              <w:spacing w:before="0" w:after="0"/>
            </w:pPr>
            <w:r>
              <w:rPr>
                <w:rFonts w:ascii="Calibri" w:hAnsi="Calibri" w:cs="Calibri"/>
                <w:sz w:val="20"/>
              </w:rPr>
              <w:t xml:space="preserve">CMS ARC-AMPE</w:t>
            </w:r>
          </w:p>
        </w:tc>
        <w:tc>
          <w:tcPr>
            <w:tcW w:w="2900" w:type="dxa"/>
          </w:tcPr>
          <w:p>
            <w:pPr>
              <w:spacing w:before="0" w:after="0"/>
            </w:pPr>
            <w:r>
              <w:rPr>
                <w:rFonts w:ascii="Calibri" w:hAnsi="Calibri" w:cs="Calibri"/>
                <w:sz w:val="20"/>
              </w:rPr>
              <w:t xml:space="preserve">Vol. I v1.0.4, May 7, 2026 (operator-supplied; the CMS public page still lists v1.02); Vol. II v1.02 (public page)</w:t>
            </w:r>
          </w:p>
        </w:tc>
        <w:tc>
          <w:tcPr>
            <w:tcW w:w="2780" w:type="dxa"/>
          </w:tcPr>
          <w:p>
            <w:pPr>
              <w:spacing w:before="0" w:after="0"/>
            </w:pPr>
            <w:r>
              <w:rPr>
                <w:rFonts w:ascii="Calibri" w:hAnsi="Calibri" w:cs="Calibri"/>
                <w:sz w:val="20"/>
              </w:rPr>
              <w:t xml:space="preserve">CMS zONE for current versions; cms.gov Marketplace Regulations and Guidance page (#arc-ampe) lags</w:t>
            </w:r>
          </w:p>
        </w:tc>
        <w:tc>
          <w:tcPr>
            <w:tcW w:w="2300" w:type="dxa"/>
          </w:tcPr>
          <w:p>
            <w:pPr>
              <w:spacing w:before="0" w:after="0"/>
            </w:pPr>
            <w:r>
              <w:rPr>
                <w:rFonts w:ascii="Calibri" w:hAnsi="Calibri" w:cs="Calibri"/>
                <w:sz w:val="20"/>
              </w:rPr>
              <w:t xml:space="preserve">Partial — the public page lags zONE; operator-supplied updates</w:t>
            </w:r>
          </w:p>
        </w:tc>
      </w:tr>
      <w:tr>
        <w:tc>
          <w:tcPr>
            <w:tcW w:w="2100" w:type="dxa"/>
          </w:tcPr>
          <w:p>
            <w:pPr>
              <w:spacing w:before="0" w:after="0"/>
            </w:pPr>
            <w:r>
              <w:rPr>
                <w:rFonts w:ascii="Calibri" w:hAnsi="Calibri" w:cs="Calibri"/>
                <w:sz w:val="20"/>
              </w:rPr>
              <w:t xml:space="preserve">SSA TSSR</w:t>
            </w:r>
          </w:p>
        </w:tc>
        <w:tc>
          <w:tcPr>
            <w:tcW w:w="2900" w:type="dxa"/>
          </w:tcPr>
          <w:p>
            <w:pPr>
              <w:spacing w:before="0" w:after="0"/>
            </w:pPr>
            <w:r>
              <w:rPr>
                <w:rFonts w:ascii="Calibri" w:hAnsi="Calibri" w:cs="Calibri"/>
                <w:sz w:val="20"/>
              </w:rPr>
              <w:t xml:space="preserve">Version 12.1, April 28, 2026 (operator-supplied)</w:t>
            </w:r>
          </w:p>
        </w:tc>
        <w:tc>
          <w:tcPr>
            <w:tcW w:w="2780" w:type="dxa"/>
          </w:tcPr>
          <w:p>
            <w:pPr>
              <w:spacing w:before="0" w:after="0"/>
            </w:pPr>
            <w:r>
              <w:rPr>
                <w:rFonts w:ascii="Calibri" w:hAnsi="Calibri" w:cs="Calibri"/>
                <w:sz w:val="20"/>
              </w:rPr>
              <w:t xml:space="preserve">ssa.gov/dataexchange/security.html returns HTTP 403 to automated requests</w:t>
            </w:r>
          </w:p>
        </w:tc>
        <w:tc>
          <w:tcPr>
            <w:tcW w:w="2300" w:type="dxa"/>
          </w:tcPr>
          <w:p>
            <w:pPr>
              <w:spacing w:before="0" w:after="0"/>
            </w:pPr>
            <w:r>
              <w:rPr>
                <w:rFonts w:ascii="Calibri" w:hAnsi="Calibri" w:cs="Calibri"/>
                <w:sz w:val="20"/>
              </w:rPr>
              <w:t xml:space="preserve">No — operator-supplied updates only</w:t>
            </w:r>
          </w:p>
        </w:tc>
      </w:tr>
    </w:tbl>
    <w:p>
      <w:pPr>
        <w:spacing w:before="0" w:after="60"/>
        <w:ind w:left="360" w:hanging="260"/>
      </w:pPr>
      <w:r>
        <w:rPr>
          <w:rFonts w:ascii="Calibri" w:hAnsi="Calibri" w:cs="Calibri"/>
          <w:sz w:val="21"/>
        </w:rPr>
        <w:t xml:space="preserve">•	</w:t>
      </w:r>
      <w:r>
        <w:rPr>
          <w:rFonts w:ascii="Calibri" w:hAnsi="Calibri" w:cs="Calibri"/>
          <w:b/>
          <w:sz w:val="21"/>
        </w:rPr>
        <w:t xml:space="preserve">ARC-AMPE: </w:t>
      </w:r>
      <w:r>
        <w:rPr>
          <w:rFonts w:ascii="Calibri" w:hAnsi="Calibri" w:cs="Calibri"/>
          <w:sz w:val="21"/>
        </w:rPr>
        <w:t xml:space="preserve">CMS's own record of changes shows 1.0.3 (December 4, 2025; zONE URLs updated) and 1.0.4 (May 7, 2026; the SAR retired as an ATC package artifact). Current versions are distributed through CMS zONE, and the public page lags them. A third-party report of "v1.03, October 23, 2025" does not match CMS's record. Authorities cited are unchanged from v1.02 apart from one definitional reference.</w:t>
      </w:r>
    </w:p>
    <w:p>
      <w:pPr>
        <w:spacing w:before="0" w:after="60"/>
        <w:ind w:left="360" w:hanging="260"/>
      </w:pPr>
      <w:r>
        <w:rPr>
          <w:rFonts w:ascii="Calibri" w:hAnsi="Calibri" w:cs="Calibri"/>
          <w:sz w:val="21"/>
        </w:rPr>
        <w:t xml:space="preserve">•	</w:t>
      </w:r>
      <w:r>
        <w:rPr>
          <w:rFonts w:ascii="Calibri" w:hAnsi="Calibri" w:cs="Calibri"/>
          <w:b/>
          <w:sz w:val="21"/>
        </w:rPr>
        <w:t xml:space="preserve">TSSR: </w:t>
      </w:r>
      <w:r>
        <w:rPr>
          <w:rFonts w:ascii="Calibri" w:hAnsi="Calibri" w:cs="Calibri"/>
          <w:sz w:val="21"/>
        </w:rPr>
        <w:t xml:space="preserve">v12.1 changes the legal basis relative to the v8.50 (2019) copy first found. It no longer cites Social Security Act sections 1106, 1137 or 453; it adds FOIA (5 U.S.C. 552), Records Management by Federal Agencies (44 U.S.C. chapter 31) and the CUI rule (32 CFR part 2002, including section 2002.16(a)(6)). The three Social Security Act sections are kept in the register, marked uncited, pending operator review. Operator-supplied copies are held in research/it_governance/ (gitignored); only titles, versions and citations enter the brief.</w:t>
      </w:r>
    </w:p>
    <w:p>
      <w:pPr>
        <w:spacing w:before="240" w:after="80"/>
      </w:pPr>
      <w:r>
        <w:rPr>
          <w:rFonts w:ascii="Calibri" w:hAnsi="Calibri" w:cs="Calibri"/>
          <w:b/>
          <w:sz w:val="26"/>
        </w:rPr>
        <w:t xml:space="preserve">4. Governing Authorities (retrieved)</w:t>
      </w:r>
    </w:p>
    <w:p>
      <w:pPr>
        <w:spacing w:before="0" w:after="100"/>
      </w:pPr>
      <w:r>
        <w:rPr>
          <w:rFonts w:ascii="Calibri" w:hAnsi="Calibri" w:cs="Calibri"/>
          <w:sz w:val="21"/>
        </w:rPr>
        <w:t xml:space="preserve">Statute headings from uscode.house.gov (prelim edition); regulation headings and latest amendment dates from the eCFR versioner API. "Cited by" means the framework's own retrieved text cites it.</w:t>
      </w:r>
    </w:p>
    <w:tbl>
      <w:tblPr>
        <w:tblW w:w="1008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80" w:type="dxa"/>
          <w:right w:w="80" w:type="dxa"/>
        </w:tblCellMar>
      </w:tblPr>
      <w:tblGrid>
        <w:gridCol w:w="2200"/>
        <w:gridCol w:w="6180"/>
        <w:gridCol w:w="1700"/>
      </w:tblGrid>
      <w:tr>
        <w:tc>
          <w:tcPr>
            <w:tcW w:w="2200" w:type="dxa"/>
            <w:shd w:val="clear" w:color="auto" w:fill="F2F2F2"/>
          </w:tcPr>
          <w:p>
            <w:pPr>
              <w:spacing w:before="0" w:after="0"/>
            </w:pPr>
            <w:r>
              <w:rPr>
                <w:rFonts w:ascii="Calibri" w:hAnsi="Calibri" w:cs="Calibri"/>
                <w:b/>
                <w:sz w:val="20"/>
              </w:rPr>
              <w:t xml:space="preserve">Authority</w:t>
            </w:r>
          </w:p>
        </w:tc>
        <w:tc>
          <w:tcPr>
            <w:tcW w:w="6180" w:type="dxa"/>
            <w:shd w:val="clear" w:color="auto" w:fill="F2F2F2"/>
          </w:tcPr>
          <w:p>
            <w:pPr>
              <w:spacing w:before="0" w:after="0"/>
            </w:pPr>
            <w:r>
              <w:rPr>
                <w:rFonts w:ascii="Calibri" w:hAnsi="Calibri" w:cs="Calibri"/>
                <w:b/>
                <w:sz w:val="20"/>
              </w:rPr>
              <w:t xml:space="preserve">Heading (as retrieved)</w:t>
            </w:r>
          </w:p>
        </w:tc>
        <w:tc>
          <w:tcPr>
            <w:tcW w:w="1700" w:type="dxa"/>
            <w:shd w:val="clear" w:color="auto" w:fill="F2F2F2"/>
          </w:tcPr>
          <w:p>
            <w:pPr>
              <w:spacing w:before="0" w:after="0"/>
            </w:pPr>
            <w:r>
              <w:rPr>
                <w:rFonts w:ascii="Calibri" w:hAnsi="Calibri" w:cs="Calibri"/>
                <w:b/>
                <w:sz w:val="20"/>
              </w:rPr>
              <w:t xml:space="preserve">Cited by</w:t>
            </w:r>
          </w:p>
        </w:tc>
      </w:tr>
      <w:tr>
        <w:tc>
          <w:tcPr>
            <w:tcW w:w="2200" w:type="dxa"/>
          </w:tcPr>
          <w:p>
            <w:pPr>
              <w:spacing w:before="0" w:after="0"/>
            </w:pPr>
            <w:r>
              <w:rPr>
                <w:rFonts w:ascii="Calibri" w:hAnsi="Calibri" w:cs="Calibri"/>
                <w:sz w:val="20"/>
              </w:rPr>
              <w:t xml:space="preserve">26 U.S.C. 6103</w:t>
            </w:r>
          </w:p>
        </w:tc>
        <w:tc>
          <w:tcPr>
            <w:tcW w:w="6180" w:type="dxa"/>
          </w:tcPr>
          <w:p>
            <w:pPr>
              <w:spacing w:before="0" w:after="0"/>
            </w:pPr>
            <w:r>
              <w:rPr>
                <w:rFonts w:ascii="Calibri" w:hAnsi="Calibri" w:cs="Calibri"/>
                <w:sz w:val="20"/>
              </w:rPr>
              <w:t xml:space="preserve">Confidentiality and disclosure of returns and return information — (p)(4) Safeguards confirmed present</w:t>
            </w:r>
          </w:p>
        </w:tc>
        <w:tc>
          <w:tcPr>
            <w:tcW w:w="1700" w:type="dxa"/>
          </w:tcPr>
          <w:p>
            <w:pPr>
              <w:spacing w:before="0" w:after="0"/>
            </w:pPr>
            <w:r>
              <w:rPr>
                <w:rFonts w:ascii="Calibri" w:hAnsi="Calibri" w:cs="Calibri"/>
                <w:sz w:val="20"/>
              </w:rPr>
              <w:t xml:space="preserve">Pub 1075, ARC-AMPE</w:t>
            </w:r>
          </w:p>
        </w:tc>
      </w:tr>
      <w:tr>
        <w:tc>
          <w:tcPr>
            <w:tcW w:w="2200" w:type="dxa"/>
          </w:tcPr>
          <w:p>
            <w:pPr>
              <w:spacing w:before="0" w:after="0"/>
            </w:pPr>
            <w:r>
              <w:rPr>
                <w:rFonts w:ascii="Calibri" w:hAnsi="Calibri" w:cs="Calibri"/>
                <w:sz w:val="20"/>
              </w:rPr>
              <w:t xml:space="preserve">26 U.S.C. 7213</w:t>
            </w:r>
          </w:p>
        </w:tc>
        <w:tc>
          <w:tcPr>
            <w:tcW w:w="6180" w:type="dxa"/>
          </w:tcPr>
          <w:p>
            <w:pPr>
              <w:spacing w:before="0" w:after="0"/>
            </w:pPr>
            <w:r>
              <w:rPr>
                <w:rFonts w:ascii="Calibri" w:hAnsi="Calibri" w:cs="Calibri"/>
                <w:sz w:val="20"/>
              </w:rPr>
              <w:t xml:space="preserve">Unauthorized disclosure of information</w:t>
            </w:r>
          </w:p>
        </w:tc>
        <w:tc>
          <w:tcPr>
            <w:tcW w:w="1700" w:type="dxa"/>
          </w:tcPr>
          <w:p>
            <w:pPr>
              <w:spacing w:before="0" w:after="0"/>
            </w:pPr>
            <w:r>
              <w:rPr>
                <w:rFonts w:ascii="Calibri" w:hAnsi="Calibri" w:cs="Calibri"/>
                <w:sz w:val="20"/>
              </w:rPr>
              <w:t xml:space="preserve">Pub 1075</w:t>
            </w:r>
          </w:p>
        </w:tc>
      </w:tr>
      <w:tr>
        <w:tc>
          <w:tcPr>
            <w:tcW w:w="2200" w:type="dxa"/>
          </w:tcPr>
          <w:p>
            <w:pPr>
              <w:spacing w:before="0" w:after="0"/>
            </w:pPr>
            <w:r>
              <w:rPr>
                <w:rFonts w:ascii="Calibri" w:hAnsi="Calibri" w:cs="Calibri"/>
                <w:sz w:val="20"/>
              </w:rPr>
              <w:t xml:space="preserve">26 U.S.C. 7213A</w:t>
            </w:r>
          </w:p>
        </w:tc>
        <w:tc>
          <w:tcPr>
            <w:tcW w:w="6180" w:type="dxa"/>
          </w:tcPr>
          <w:p>
            <w:pPr>
              <w:spacing w:before="0" w:after="0"/>
            </w:pPr>
            <w:r>
              <w:rPr>
                <w:rFonts w:ascii="Calibri" w:hAnsi="Calibri" w:cs="Calibri"/>
                <w:sz w:val="20"/>
              </w:rPr>
              <w:t xml:space="preserve">Unauthorized inspection of returns or return information</w:t>
            </w:r>
          </w:p>
        </w:tc>
        <w:tc>
          <w:tcPr>
            <w:tcW w:w="1700" w:type="dxa"/>
          </w:tcPr>
          <w:p>
            <w:pPr>
              <w:spacing w:before="0" w:after="0"/>
            </w:pPr>
            <w:r>
              <w:rPr>
                <w:rFonts w:ascii="Calibri" w:hAnsi="Calibri" w:cs="Calibri"/>
                <w:sz w:val="20"/>
              </w:rPr>
              <w:t xml:space="preserve">Pub 1075</w:t>
            </w:r>
          </w:p>
        </w:tc>
      </w:tr>
      <w:tr>
        <w:tc>
          <w:tcPr>
            <w:tcW w:w="2200" w:type="dxa"/>
          </w:tcPr>
          <w:p>
            <w:pPr>
              <w:spacing w:before="0" w:after="0"/>
            </w:pPr>
            <w:r>
              <w:rPr>
                <w:rFonts w:ascii="Calibri" w:hAnsi="Calibri" w:cs="Calibri"/>
                <w:sz w:val="20"/>
              </w:rPr>
              <w:t xml:space="preserve">26 U.S.C. 7431</w:t>
            </w:r>
          </w:p>
        </w:tc>
        <w:tc>
          <w:tcPr>
            <w:tcW w:w="6180" w:type="dxa"/>
          </w:tcPr>
          <w:p>
            <w:pPr>
              <w:spacing w:before="0" w:after="0"/>
            </w:pPr>
            <w:r>
              <w:rPr>
                <w:rFonts w:ascii="Calibri" w:hAnsi="Calibri" w:cs="Calibri"/>
                <w:sz w:val="20"/>
              </w:rPr>
              <w:t xml:space="preserve">Civil damages for unauthorized inspection or disclosure of returns and return information</w:t>
            </w:r>
          </w:p>
        </w:tc>
        <w:tc>
          <w:tcPr>
            <w:tcW w:w="1700" w:type="dxa"/>
          </w:tcPr>
          <w:p>
            <w:pPr>
              <w:spacing w:before="0" w:after="0"/>
            </w:pPr>
            <w:r>
              <w:rPr>
                <w:rFonts w:ascii="Calibri" w:hAnsi="Calibri" w:cs="Calibri"/>
                <w:sz w:val="20"/>
              </w:rPr>
              <w:t xml:space="preserve">Pub 1075</w:t>
            </w:r>
          </w:p>
        </w:tc>
      </w:tr>
      <w:tr>
        <w:tc>
          <w:tcPr>
            <w:tcW w:w="2200" w:type="dxa"/>
          </w:tcPr>
          <w:p>
            <w:pPr>
              <w:spacing w:before="0" w:after="0"/>
            </w:pPr>
            <w:r>
              <w:rPr>
                <w:rFonts w:ascii="Calibri" w:hAnsi="Calibri" w:cs="Calibri"/>
                <w:sz w:val="20"/>
              </w:rPr>
              <w:t xml:space="preserve">5 U.S.C. 552a</w:t>
            </w:r>
          </w:p>
        </w:tc>
        <w:tc>
          <w:tcPr>
            <w:tcW w:w="6180" w:type="dxa"/>
          </w:tcPr>
          <w:p>
            <w:pPr>
              <w:spacing w:before="0" w:after="0"/>
            </w:pPr>
            <w:r>
              <w:rPr>
                <w:rFonts w:ascii="Calibri" w:hAnsi="Calibri" w:cs="Calibri"/>
                <w:sz w:val="20"/>
              </w:rPr>
              <w:t xml:space="preserve">Records maintained on individuals (Privacy Act) — (o) Matching Agreements, (p) Verification and Opportunity to Contest Findings, (u) Data Integrity Boards confirmed present; TSSR v12.1 cites "Privacy Act of 1974 as amended [5 USC 552a]" and the Computer Matching and Privacy Protection Act</w:t>
            </w:r>
          </w:p>
        </w:tc>
        <w:tc>
          <w:tcPr>
            <w:tcW w:w="1700" w:type="dxa"/>
          </w:tcPr>
          <w:p>
            <w:pPr>
              <w:spacing w:before="0" w:after="0"/>
            </w:pPr>
            <w:r>
              <w:rPr>
                <w:rFonts w:ascii="Calibri" w:hAnsi="Calibri" w:cs="Calibri"/>
                <w:sz w:val="20"/>
              </w:rPr>
              <w:t xml:space="preserve">Pub 1075, ARC-AMPE, TSSR</w:t>
            </w:r>
          </w:p>
        </w:tc>
      </w:tr>
      <w:tr>
        <w:tc>
          <w:tcPr>
            <w:tcW w:w="2200" w:type="dxa"/>
          </w:tcPr>
          <w:p>
            <w:pPr>
              <w:spacing w:before="0" w:after="0"/>
            </w:pPr>
            <w:r>
              <w:rPr>
                <w:rFonts w:ascii="Calibri" w:hAnsi="Calibri" w:cs="Calibri"/>
                <w:sz w:val="20"/>
              </w:rPr>
              <w:t xml:space="preserve">44 U.S.C. 3551</w:t>
            </w:r>
          </w:p>
        </w:tc>
        <w:tc>
          <w:tcPr>
            <w:tcW w:w="6180" w:type="dxa"/>
          </w:tcPr>
          <w:p>
            <w:pPr>
              <w:spacing w:before="0" w:after="0"/>
            </w:pPr>
            <w:r>
              <w:rPr>
                <w:rFonts w:ascii="Calibri" w:hAnsi="Calibri" w:cs="Calibri"/>
                <w:sz w:val="20"/>
              </w:rPr>
              <w:t xml:space="preserve">Purposes (FISMA) — TSSR v12.1 cites FISMA of 2014 [PL 113-283]</w:t>
            </w:r>
          </w:p>
        </w:tc>
        <w:tc>
          <w:tcPr>
            <w:tcW w:w="1700" w:type="dxa"/>
          </w:tcPr>
          <w:p>
            <w:pPr>
              <w:spacing w:before="0" w:after="0"/>
            </w:pPr>
            <w:r>
              <w:rPr>
                <w:rFonts w:ascii="Calibri" w:hAnsi="Calibri" w:cs="Calibri"/>
                <w:sz w:val="20"/>
              </w:rPr>
              <w:t xml:space="preserve">ARC-AMPE, TSSR</w:t>
            </w:r>
          </w:p>
        </w:tc>
      </w:tr>
      <w:tr>
        <w:tc>
          <w:tcPr>
            <w:tcW w:w="2200" w:type="dxa"/>
          </w:tcPr>
          <w:p>
            <w:pPr>
              <w:spacing w:before="0" w:after="0"/>
            </w:pPr>
            <w:r>
              <w:rPr>
                <w:rFonts w:ascii="Calibri" w:hAnsi="Calibri" w:cs="Calibri"/>
                <w:sz w:val="20"/>
              </w:rPr>
              <w:t xml:space="preserve">42 U.S.C. 18081</w:t>
            </w:r>
          </w:p>
        </w:tc>
        <w:tc>
          <w:tcPr>
            <w:tcW w:w="6180" w:type="dxa"/>
          </w:tcPr>
          <w:p>
            <w:pPr>
              <w:spacing w:before="0" w:after="0"/>
            </w:pPr>
            <w:r>
              <w:rPr>
                <w:rFonts w:ascii="Calibri" w:hAnsi="Calibri" w:cs="Calibri"/>
                <w:sz w:val="20"/>
              </w:rPr>
              <w:t xml:space="preserve">Procedures for determining eligibility for Exchange participation, premium tax credits and reduced cost-sharing, and individual responsibility exemptions — ACA sec. 1411; (g) Confidentiality of applicant information confirmed present</w:t>
            </w:r>
          </w:p>
        </w:tc>
        <w:tc>
          <w:tcPr>
            <w:tcW w:w="1700" w:type="dxa"/>
          </w:tcPr>
          <w:p>
            <w:pPr>
              <w:spacing w:before="0" w:after="0"/>
            </w:pPr>
            <w:r>
              <w:rPr>
                <w:rFonts w:ascii="Calibri" w:hAnsi="Calibri" w:cs="Calibri"/>
                <w:sz w:val="20"/>
              </w:rPr>
              <w:t xml:space="preserve">ARC-AMPE</w:t>
            </w:r>
          </w:p>
        </w:tc>
      </w:tr>
      <w:tr>
        <w:tc>
          <w:tcPr>
            <w:tcW w:w="2200" w:type="dxa"/>
          </w:tcPr>
          <w:p>
            <w:pPr>
              <w:spacing w:before="0" w:after="0"/>
            </w:pPr>
            <w:r>
              <w:rPr>
                <w:rFonts w:ascii="Calibri" w:hAnsi="Calibri" w:cs="Calibri"/>
                <w:sz w:val="20"/>
              </w:rPr>
              <w:t xml:space="preserve">42 U.S.C. 1306</w:t>
            </w:r>
          </w:p>
        </w:tc>
        <w:tc>
          <w:tcPr>
            <w:tcW w:w="6180" w:type="dxa"/>
          </w:tcPr>
          <w:p>
            <w:pPr>
              <w:spacing w:before="0" w:after="0"/>
            </w:pPr>
            <w:r>
              <w:rPr>
                <w:rFonts w:ascii="Calibri" w:hAnsi="Calibri" w:cs="Calibri"/>
                <w:sz w:val="20"/>
              </w:rPr>
              <w:t xml:space="preserve">Disclosure of information in possession of Social Security Administration or Department of Health and Human Services — Social Security Act sec. 1106 (source credit confirmed); cited by TSSR v8.50 (2019) only — not by TSSR v12.1. Kept pending operator review.</w:t>
            </w:r>
          </w:p>
        </w:tc>
        <w:tc>
          <w:tcPr>
            <w:tcW w:w="1700" w:type="dxa"/>
          </w:tcPr>
          <w:p>
            <w:pPr>
              <w:spacing w:before="0" w:after="0"/>
            </w:pPr>
            <w:r>
              <w:rPr>
                <w:rFonts w:ascii="Calibri" w:hAnsi="Calibri" w:cs="Calibri"/>
                <w:sz w:val="20"/>
              </w:rPr>
              <w:t xml:space="preserve"/>
            </w:r>
          </w:p>
        </w:tc>
      </w:tr>
      <w:tr>
        <w:tc>
          <w:tcPr>
            <w:tcW w:w="2200" w:type="dxa"/>
          </w:tcPr>
          <w:p>
            <w:pPr>
              <w:spacing w:before="0" w:after="0"/>
            </w:pPr>
            <w:r>
              <w:rPr>
                <w:rFonts w:ascii="Calibri" w:hAnsi="Calibri" w:cs="Calibri"/>
                <w:sz w:val="20"/>
              </w:rPr>
              <w:t xml:space="preserve">42 U.S.C. 1320b-7</w:t>
            </w:r>
          </w:p>
        </w:tc>
        <w:tc>
          <w:tcPr>
            <w:tcW w:w="6180" w:type="dxa"/>
          </w:tcPr>
          <w:p>
            <w:pPr>
              <w:spacing w:before="0" w:after="0"/>
            </w:pPr>
            <w:r>
              <w:rPr>
                <w:rFonts w:ascii="Calibri" w:hAnsi="Calibri" w:cs="Calibri"/>
                <w:sz w:val="20"/>
              </w:rPr>
              <w:t xml:space="preserve">Income and eligibility verification system — Social Security Act sec. 1137 (source credit confirmed); cited by TSSR v8.50 (2019) only — not by TSSR v12.1. Kept pending operator review.</w:t>
            </w:r>
          </w:p>
        </w:tc>
        <w:tc>
          <w:tcPr>
            <w:tcW w:w="1700" w:type="dxa"/>
          </w:tcPr>
          <w:p>
            <w:pPr>
              <w:spacing w:before="0" w:after="0"/>
            </w:pPr>
            <w:r>
              <w:rPr>
                <w:rFonts w:ascii="Calibri" w:hAnsi="Calibri" w:cs="Calibri"/>
                <w:sz w:val="20"/>
              </w:rPr>
              <w:t xml:space="preserve"/>
            </w:r>
          </w:p>
        </w:tc>
      </w:tr>
      <w:tr>
        <w:tc>
          <w:tcPr>
            <w:tcW w:w="2200" w:type="dxa"/>
          </w:tcPr>
          <w:p>
            <w:pPr>
              <w:spacing w:before="0" w:after="0"/>
            </w:pPr>
            <w:r>
              <w:rPr>
                <w:rFonts w:ascii="Calibri" w:hAnsi="Calibri" w:cs="Calibri"/>
                <w:sz w:val="20"/>
              </w:rPr>
              <w:t xml:space="preserve">42 U.S.C. 653</w:t>
            </w:r>
          </w:p>
        </w:tc>
        <w:tc>
          <w:tcPr>
            <w:tcW w:w="6180" w:type="dxa"/>
          </w:tcPr>
          <w:p>
            <w:pPr>
              <w:spacing w:before="0" w:after="0"/>
            </w:pPr>
            <w:r>
              <w:rPr>
                <w:rFonts w:ascii="Calibri" w:hAnsi="Calibri" w:cs="Calibri"/>
                <w:sz w:val="20"/>
              </w:rPr>
              <w:t xml:space="preserve">Federal Parent Locator Service — Social Security Act sec. 453 (source credit confirmed); cited by TSSR v8.50 (2019) only — not by TSSR v12.1. Kept pending operator review.</w:t>
            </w:r>
          </w:p>
        </w:tc>
        <w:tc>
          <w:tcPr>
            <w:tcW w:w="1700" w:type="dxa"/>
          </w:tcPr>
          <w:p>
            <w:pPr>
              <w:spacing w:before="0" w:after="0"/>
            </w:pPr>
            <w:r>
              <w:rPr>
                <w:rFonts w:ascii="Calibri" w:hAnsi="Calibri" w:cs="Calibri"/>
                <w:sz w:val="20"/>
              </w:rPr>
              <w:t xml:space="preserve"/>
            </w:r>
          </w:p>
        </w:tc>
      </w:tr>
      <w:tr>
        <w:tc>
          <w:tcPr>
            <w:tcW w:w="2200" w:type="dxa"/>
          </w:tcPr>
          <w:p>
            <w:pPr>
              <w:spacing w:before="0" w:after="0"/>
            </w:pPr>
            <w:r>
              <w:rPr>
                <w:rFonts w:ascii="Calibri" w:hAnsi="Calibri" w:cs="Calibri"/>
                <w:sz w:val="20"/>
              </w:rPr>
              <w:t xml:space="preserve">5 U.S.C. 552</w:t>
            </w:r>
          </w:p>
        </w:tc>
        <w:tc>
          <w:tcPr>
            <w:tcW w:w="6180" w:type="dxa"/>
          </w:tcPr>
          <w:p>
            <w:pPr>
              <w:spacing w:before="0" w:after="0"/>
            </w:pPr>
            <w:r>
              <w:rPr>
                <w:rFonts w:ascii="Calibri" w:hAnsi="Calibri" w:cs="Calibri"/>
                <w:sz w:val="20"/>
              </w:rPr>
              <w:t xml:space="preserve">Public information; agency rules, opinions, orders, records, and proceedings — FOIA; TSSR v12.1 cites [PL 104-232, 5 USC 552]</w:t>
            </w:r>
          </w:p>
        </w:tc>
        <w:tc>
          <w:tcPr>
            <w:tcW w:w="1700" w:type="dxa"/>
          </w:tcPr>
          <w:p>
            <w:pPr>
              <w:spacing w:before="0" w:after="0"/>
            </w:pPr>
            <w:r>
              <w:rPr>
                <w:rFonts w:ascii="Calibri" w:hAnsi="Calibri" w:cs="Calibri"/>
                <w:sz w:val="20"/>
              </w:rPr>
              <w:t xml:space="preserve">TSSR</w:t>
            </w:r>
          </w:p>
        </w:tc>
      </w:tr>
      <w:tr>
        <w:tc>
          <w:tcPr>
            <w:tcW w:w="2200" w:type="dxa"/>
          </w:tcPr>
          <w:p>
            <w:pPr>
              <w:spacing w:before="0" w:after="0"/>
            </w:pPr>
            <w:r>
              <w:rPr>
                <w:rFonts w:ascii="Calibri" w:hAnsi="Calibri" w:cs="Calibri"/>
                <w:sz w:val="20"/>
              </w:rPr>
              <w:t xml:space="preserve">44 U.S.C. chapter 31</w:t>
            </w:r>
          </w:p>
        </w:tc>
        <w:tc>
          <w:tcPr>
            <w:tcW w:w="6180" w:type="dxa"/>
          </w:tcPr>
          <w:p>
            <w:pPr>
              <w:spacing w:before="0" w:after="0"/>
            </w:pPr>
            <w:r>
              <w:rPr>
                <w:rFonts w:ascii="Calibri" w:hAnsi="Calibri" w:cs="Calibri"/>
                <w:sz w:val="20"/>
              </w:rPr>
              <w:t xml:space="preserve">Records Management by Federal Agencies — TSSR v12.1 cites [44 USC 31]</w:t>
            </w:r>
          </w:p>
        </w:tc>
        <w:tc>
          <w:tcPr>
            <w:tcW w:w="1700" w:type="dxa"/>
          </w:tcPr>
          <w:p>
            <w:pPr>
              <w:spacing w:before="0" w:after="0"/>
            </w:pPr>
            <w:r>
              <w:rPr>
                <w:rFonts w:ascii="Calibri" w:hAnsi="Calibri" w:cs="Calibri"/>
                <w:sz w:val="20"/>
              </w:rPr>
              <w:t xml:space="preserve">TSSR</w:t>
            </w:r>
          </w:p>
        </w:tc>
      </w:tr>
      <w:tr>
        <w:tc>
          <w:tcPr>
            <w:tcW w:w="2200" w:type="dxa"/>
          </w:tcPr>
          <w:p>
            <w:pPr>
              <w:spacing w:before="0" w:after="0"/>
            </w:pPr>
            <w:r>
              <w:rPr>
                <w:rFonts w:ascii="Calibri" w:hAnsi="Calibri" w:cs="Calibri"/>
                <w:sz w:val="20"/>
              </w:rPr>
              <w:t xml:space="preserve">45 CFR 155.260</w:t>
            </w:r>
          </w:p>
        </w:tc>
        <w:tc>
          <w:tcPr>
            <w:tcW w:w="6180" w:type="dxa"/>
          </w:tcPr>
          <w:p>
            <w:pPr>
              <w:spacing w:before="0" w:after="0"/>
            </w:pPr>
            <w:r>
              <w:rPr>
                <w:rFonts w:ascii="Calibri" w:hAnsi="Calibri" w:cs="Calibri"/>
                <w:sz w:val="20"/>
              </w:rPr>
              <w:t xml:space="preserve">Privacy and security of personally identifiable information (eCFR latest amendment 2016-12-30)</w:t>
            </w:r>
          </w:p>
        </w:tc>
        <w:tc>
          <w:tcPr>
            <w:tcW w:w="1700" w:type="dxa"/>
          </w:tcPr>
          <w:p>
            <w:pPr>
              <w:spacing w:before="0" w:after="0"/>
            </w:pPr>
            <w:r>
              <w:rPr>
                <w:rFonts w:ascii="Calibri" w:hAnsi="Calibri" w:cs="Calibri"/>
                <w:sz w:val="20"/>
              </w:rPr>
              <w:t xml:space="preserve">ARC-AMPE</w:t>
            </w:r>
          </w:p>
        </w:tc>
      </w:tr>
      <w:tr>
        <w:tc>
          <w:tcPr>
            <w:tcW w:w="2200" w:type="dxa"/>
          </w:tcPr>
          <w:p>
            <w:pPr>
              <w:spacing w:before="0" w:after="0"/>
            </w:pPr>
            <w:r>
              <w:rPr>
                <w:rFonts w:ascii="Calibri" w:hAnsi="Calibri" w:cs="Calibri"/>
                <w:sz w:val="20"/>
              </w:rPr>
              <w:t xml:space="preserve">45 CFR 155.280</w:t>
            </w:r>
          </w:p>
        </w:tc>
        <w:tc>
          <w:tcPr>
            <w:tcW w:w="6180" w:type="dxa"/>
          </w:tcPr>
          <w:p>
            <w:pPr>
              <w:spacing w:before="0" w:after="0"/>
            </w:pPr>
            <w:r>
              <w:rPr>
                <w:rFonts w:ascii="Calibri" w:hAnsi="Calibri" w:cs="Calibri"/>
                <w:sz w:val="20"/>
              </w:rPr>
              <w:t xml:space="preserve">Oversight and monitoring of privacy and security requirements (eCFR latest amendment 2016-12-30)</w:t>
            </w:r>
          </w:p>
        </w:tc>
        <w:tc>
          <w:tcPr>
            <w:tcW w:w="1700" w:type="dxa"/>
          </w:tcPr>
          <w:p>
            <w:pPr>
              <w:spacing w:before="0" w:after="0"/>
            </w:pPr>
            <w:r>
              <w:rPr>
                <w:rFonts w:ascii="Calibri" w:hAnsi="Calibri" w:cs="Calibri"/>
                <w:sz w:val="20"/>
              </w:rPr>
              <w:t xml:space="preserve">ARC-AMPE</w:t>
            </w:r>
          </w:p>
        </w:tc>
      </w:tr>
      <w:tr>
        <w:tc>
          <w:tcPr>
            <w:tcW w:w="2200" w:type="dxa"/>
          </w:tcPr>
          <w:p>
            <w:pPr>
              <w:spacing w:before="0" w:after="0"/>
            </w:pPr>
            <w:r>
              <w:rPr>
                <w:rFonts w:ascii="Calibri" w:hAnsi="Calibri" w:cs="Calibri"/>
                <w:sz w:val="20"/>
              </w:rPr>
              <w:t xml:space="preserve">26 CFR 301.6103(n)-1</w:t>
            </w:r>
          </w:p>
        </w:tc>
        <w:tc>
          <w:tcPr>
            <w:tcW w:w="6180" w:type="dxa"/>
          </w:tcPr>
          <w:p>
            <w:pPr>
              <w:spacing w:before="0" w:after="0"/>
            </w:pPr>
            <w:r>
              <w:rPr>
                <w:rFonts w:ascii="Calibri" w:hAnsi="Calibri" w:cs="Calibri"/>
                <w:sz w:val="20"/>
              </w:rPr>
              <w:t xml:space="preserve">Disclosure of returns and return information in connection with written contracts or agreements for the acquisition of property or services for tax administration purposes (eCFR latest amendment 2016-12-19)</w:t>
            </w:r>
          </w:p>
        </w:tc>
        <w:tc>
          <w:tcPr>
            <w:tcW w:w="1700" w:type="dxa"/>
          </w:tcPr>
          <w:p>
            <w:pPr>
              <w:spacing w:before="0" w:after="0"/>
            </w:pPr>
            <w:r>
              <w:rPr>
                <w:rFonts w:ascii="Calibri" w:hAnsi="Calibri" w:cs="Calibri"/>
                <w:sz w:val="20"/>
              </w:rPr>
              <w:t xml:space="preserve">Pub 1075</w:t>
            </w:r>
          </w:p>
        </w:tc>
      </w:tr>
      <w:tr>
        <w:tc>
          <w:tcPr>
            <w:tcW w:w="2200" w:type="dxa"/>
          </w:tcPr>
          <w:p>
            <w:pPr>
              <w:spacing w:before="0" w:after="0"/>
            </w:pPr>
            <w:r>
              <w:rPr>
                <w:rFonts w:ascii="Calibri" w:hAnsi="Calibri" w:cs="Calibri"/>
                <w:sz w:val="20"/>
              </w:rPr>
              <w:t xml:space="preserve">32 CFR part 2002</w:t>
            </w:r>
          </w:p>
        </w:tc>
        <w:tc>
          <w:tcPr>
            <w:tcW w:w="6180" w:type="dxa"/>
          </w:tcPr>
          <w:p>
            <w:pPr>
              <w:spacing w:before="0" w:after="0"/>
            </w:pPr>
            <w:r>
              <w:rPr>
                <w:rFonts w:ascii="Calibri" w:hAnsi="Calibri" w:cs="Calibri"/>
                <w:sz w:val="20"/>
              </w:rPr>
              <w:t xml:space="preserve">Controlled Unclassified Information (CUI) (eCFR latest amendment 2016-12-22)</w:t>
            </w:r>
          </w:p>
        </w:tc>
        <w:tc>
          <w:tcPr>
            <w:tcW w:w="1700" w:type="dxa"/>
          </w:tcPr>
          <w:p>
            <w:pPr>
              <w:spacing w:before="0" w:after="0"/>
            </w:pPr>
            <w:r>
              <w:rPr>
                <w:rFonts w:ascii="Calibri" w:hAnsi="Calibri" w:cs="Calibri"/>
                <w:sz w:val="20"/>
              </w:rPr>
              <w:t xml:space="preserve">TSSR</w:t>
            </w:r>
          </w:p>
        </w:tc>
      </w:tr>
      <w:tr>
        <w:tc>
          <w:tcPr>
            <w:tcW w:w="2200" w:type="dxa"/>
          </w:tcPr>
          <w:p>
            <w:pPr>
              <w:spacing w:before="0" w:after="0"/>
            </w:pPr>
            <w:r>
              <w:rPr>
                <w:rFonts w:ascii="Calibri" w:hAnsi="Calibri" w:cs="Calibri"/>
                <w:sz w:val="20"/>
              </w:rPr>
              <w:t xml:space="preserve">26 CFR 301.6103(p)(4)-1</w:t>
            </w:r>
          </w:p>
        </w:tc>
        <w:tc>
          <w:tcPr>
            <w:tcW w:w="6180" w:type="dxa"/>
          </w:tcPr>
          <w:p>
            <w:pPr>
              <w:spacing w:before="0" w:after="0"/>
            </w:pPr>
            <w:r>
              <w:rPr>
                <w:rFonts w:ascii="Calibri" w:hAnsi="Calibri" w:cs="Calibri"/>
                <w:sz w:val="20"/>
              </w:rPr>
              <w:t xml:space="preserve">Procedures relating to safeguards for returns or return information (eCFR latest amendment 2016-12-19)</w:t>
            </w:r>
          </w:p>
        </w:tc>
        <w:tc>
          <w:tcPr>
            <w:tcW w:w="1700" w:type="dxa"/>
          </w:tcPr>
          <w:p>
            <w:pPr>
              <w:spacing w:before="0" w:after="0"/>
            </w:pPr>
            <w:r>
              <w:rPr>
                <w:rFonts w:ascii="Calibri" w:hAnsi="Calibri" w:cs="Calibri"/>
                <w:sz w:val="20"/>
              </w:rPr>
              <w:t xml:space="preserve">Operator (Section 9)</w:t>
            </w:r>
          </w:p>
        </w:tc>
      </w:tr>
      <w:tr>
        <w:tc>
          <w:tcPr>
            <w:tcW w:w="2200" w:type="dxa"/>
          </w:tcPr>
          <w:p>
            <w:pPr>
              <w:spacing w:before="0" w:after="0"/>
            </w:pPr>
            <w:r>
              <w:rPr>
                <w:rFonts w:ascii="Calibri" w:hAnsi="Calibri" w:cs="Calibri"/>
                <w:sz w:val="20"/>
              </w:rPr>
              <w:t xml:space="preserve">26 CFR 301.6103(p)(7)-1</w:t>
            </w:r>
          </w:p>
        </w:tc>
        <w:tc>
          <w:tcPr>
            <w:tcW w:w="6180" w:type="dxa"/>
          </w:tcPr>
          <w:p>
            <w:pPr>
              <w:spacing w:before="0" w:after="0"/>
            </w:pPr>
            <w:r>
              <w:rPr>
                <w:rFonts w:ascii="Calibri" w:hAnsi="Calibri" w:cs="Calibri"/>
                <w:sz w:val="20"/>
              </w:rPr>
              <w:t xml:space="preserve">Procedures for administrative review of a determination that an authorized recipient has failed to safeguard returns or return information (eCFR latest amendment 2016-12-19)</w:t>
            </w:r>
          </w:p>
        </w:tc>
        <w:tc>
          <w:tcPr>
            <w:tcW w:w="1700" w:type="dxa"/>
          </w:tcPr>
          <w:p>
            <w:pPr>
              <w:spacing w:before="0" w:after="0"/>
            </w:pPr>
            <w:r>
              <w:rPr>
                <w:rFonts w:ascii="Calibri" w:hAnsi="Calibri" w:cs="Calibri"/>
                <w:sz w:val="20"/>
              </w:rPr>
              <w:t xml:space="preserve">Operator (Section 9)</w:t>
            </w:r>
          </w:p>
        </w:tc>
      </w:tr>
      <w:tr>
        <w:tc>
          <w:tcPr>
            <w:tcW w:w="2200" w:type="dxa"/>
          </w:tcPr>
          <w:p>
            <w:pPr>
              <w:spacing w:before="0" w:after="0"/>
            </w:pPr>
            <w:r>
              <w:rPr>
                <w:rFonts w:ascii="Calibri" w:hAnsi="Calibri" w:cs="Calibri"/>
                <w:sz w:val="20"/>
              </w:rPr>
              <w:t xml:space="preserve">42 CFR part 431 subpart F (431.300 ff.)</w:t>
            </w:r>
          </w:p>
        </w:tc>
        <w:tc>
          <w:tcPr>
            <w:tcW w:w="6180" w:type="dxa"/>
          </w:tcPr>
          <w:p>
            <w:pPr>
              <w:spacing w:before="0" w:after="0"/>
            </w:pPr>
            <w:r>
              <w:rPr>
                <w:rFonts w:ascii="Calibri" w:hAnsi="Calibri" w:cs="Calibri"/>
                <w:sz w:val="20"/>
              </w:rPr>
              <w:t xml:space="preserve">Safeguarding Information on Applicants and Beneficiaries (eCFR latest amendment 2017-01-01)</w:t>
            </w:r>
          </w:p>
        </w:tc>
        <w:tc>
          <w:tcPr>
            <w:tcW w:w="1700" w:type="dxa"/>
          </w:tcPr>
          <w:p>
            <w:pPr>
              <w:spacing w:before="0" w:after="0"/>
            </w:pPr>
            <w:r>
              <w:rPr>
                <w:rFonts w:ascii="Calibri" w:hAnsi="Calibri" w:cs="Calibri"/>
                <w:sz w:val="20"/>
              </w:rPr>
              <w:t xml:space="preserve">Operator (Section 9)</w:t>
            </w:r>
          </w:p>
        </w:tc>
      </w:tr>
      <w:tr>
        <w:tc>
          <w:tcPr>
            <w:tcW w:w="2200" w:type="dxa"/>
          </w:tcPr>
          <w:p>
            <w:pPr>
              <w:spacing w:before="0" w:after="0"/>
            </w:pPr>
            <w:r>
              <w:rPr>
                <w:rFonts w:ascii="Calibri" w:hAnsi="Calibri" w:cs="Calibri"/>
                <w:sz w:val="20"/>
              </w:rPr>
              <w:t xml:space="preserve">20 CFR part 401</w:t>
            </w:r>
          </w:p>
        </w:tc>
        <w:tc>
          <w:tcPr>
            <w:tcW w:w="6180" w:type="dxa"/>
          </w:tcPr>
          <w:p>
            <w:pPr>
              <w:spacing w:before="0" w:after="0"/>
            </w:pPr>
            <w:r>
              <w:rPr>
                <w:rFonts w:ascii="Calibri" w:hAnsi="Calibri" w:cs="Calibri"/>
                <w:sz w:val="20"/>
              </w:rPr>
              <w:t xml:space="preserve">Privacy and Disclosure of Official Records and Information (eCFR latest amendment 2023-01-10)</w:t>
            </w:r>
          </w:p>
        </w:tc>
        <w:tc>
          <w:tcPr>
            <w:tcW w:w="1700" w:type="dxa"/>
          </w:tcPr>
          <w:p>
            <w:pPr>
              <w:spacing w:before="0" w:after="0"/>
            </w:pPr>
            <w:r>
              <w:rPr>
                <w:rFonts w:ascii="Calibri" w:hAnsi="Calibri" w:cs="Calibri"/>
                <w:sz w:val="20"/>
              </w:rPr>
              <w:t xml:space="preserve">Operator (Section 9)</w:t>
            </w:r>
          </w:p>
        </w:tc>
      </w:tr>
    </w:tbl>
    <w:p>
      <w:pPr>
        <w:spacing w:before="80" w:after="100"/>
      </w:pPr>
      <w:r>
        <w:rPr>
          <w:rFonts w:ascii="Calibri" w:hAnsi="Calibri" w:cs="Calibri"/>
          <w:color w:val="555555"/>
          <w:sz w:val="19"/>
        </w:rPr>
        <w:t xml:space="preserve">The last four regulations are not cited by the three frameworks; they were retrieved to confirm them and are included by operator decision (Section 9).</w:t>
      </w:r>
    </w:p>
    <w:p>
      <w:pPr>
        <w:spacing w:before="40" w:after="100"/>
      </w:pPr>
      <w:r>
        <w:rPr>
          <w:rFonts w:ascii="Calibri" w:hAnsi="Calibri" w:cs="Calibri"/>
          <w:color w:val="555555"/>
          <w:sz w:val="19"/>
        </w:rPr>
        <w:t xml:space="preserve">Reading the eCFR dates: 2016-12-30 / 2016-12-19 / 2017-01-01 are the start of eCFR's point-in-time history, so they mean "no amendment since at least then", not an amendment on that date.</w:t>
      </w:r>
    </w:p>
    <w:p>
      <w:pPr>
        <w:spacing w:before="240" w:after="80"/>
      </w:pPr>
      <w:r>
        <w:rPr>
          <w:rFonts w:ascii="Calibri" w:hAnsi="Calibri" w:cs="Calibri"/>
          <w:b/>
          <w:sz w:val="26"/>
        </w:rPr>
        <w:t xml:space="preserve">5. Decision</w:t>
      </w:r>
    </w:p>
    <w:p>
      <w:pPr>
        <w:spacing w:before="0" w:after="100"/>
      </w:pPr>
      <w:r>
        <w:rPr>
          <w:rFonts w:ascii="Calibri" w:hAnsi="Calibri" w:cs="Calibri"/>
          <w:b/>
          <w:sz w:val="21"/>
        </w:rPr>
        <w:t xml:space="preserve">Part A — Federal Register routing (no new outbound access).</w:t>
      </w:r>
    </w:p>
    <w:p>
      <w:pPr>
        <w:spacing w:before="0" w:after="60"/>
        <w:ind w:left="360" w:hanging="260"/>
      </w:pPr>
      <w:r>
        <w:rPr>
          <w:rFonts w:ascii="Calibri" w:hAnsi="Calibri" w:cs="Calibri"/>
          <w:sz w:val="21"/>
        </w:rPr>
        <w:t xml:space="preserve">•	</w:t>
      </w:r>
      <w:r>
        <w:rPr>
          <w:rFonts w:ascii="Calibri" w:hAnsi="Calibri" w:cs="Calibri"/>
          <w:b/>
          <w:sz w:val="21"/>
        </w:rPr>
        <w:t xml:space="preserve">New section: </w:t>
      </w:r>
      <w:r>
        <w:rPr>
          <w:rFonts w:ascii="Calibri" w:hAnsi="Calibri" w:cs="Calibri"/>
          <w:sz w:val="21"/>
        </w:rPr>
        <w:t xml:space="preserve">"IT Governance", placed after TANF and before Cross-Program (operator decision).</w:t>
      </w:r>
    </w:p>
    <w:p>
      <w:pPr>
        <w:spacing w:before="0" w:after="60"/>
        <w:ind w:left="360" w:hanging="260"/>
      </w:pPr>
      <w:r>
        <w:rPr>
          <w:rFonts w:ascii="Calibri" w:hAnsi="Calibri" w:cs="Calibri"/>
          <w:sz w:val="21"/>
        </w:rPr>
        <w:t xml:space="preserve">•	</w:t>
      </w:r>
      <w:r>
        <w:rPr>
          <w:rFonts w:ascii="Calibri" w:hAnsi="Calibri" w:cs="Calibri"/>
          <w:b/>
          <w:sz w:val="21"/>
        </w:rPr>
        <w:t xml:space="preserve">Routing: </w:t>
      </w:r>
      <w:r>
        <w:rPr>
          <w:rFonts w:ascii="Calibri" w:hAnsi="Calibri" w:cs="Calibri"/>
          <w:sz w:val="21"/>
        </w:rPr>
        <w:t xml:space="preserve">a document from SSA, CMS or the IRS routes to IT Governance — ahead of its CMS or Cross-Program routing — when it is a Privacy Act system of records or matching program notice, or its title or abstract names a safeguarding topic: computer matching, matching program, system of records, Privacy Act, federal tax information, Publication 1075, safeguard(s), information security, security and privacy, data exchange, FISMA, ARC-AMPE, MARS-E, 6103 or 552a. The term list lives in the generator and is printed with each run's input set. The same terms are added to the v9.7 IRS keep list, so an IRS system of records or matching notice is not dropped as out of scope.</w:t>
      </w:r>
    </w:p>
    <w:p>
      <w:pPr>
        <w:spacing w:before="0" w:after="60"/>
        <w:ind w:left="360" w:hanging="260"/>
      </w:pPr>
      <w:r>
        <w:rPr>
          <w:rFonts w:ascii="Calibri" w:hAnsi="Calibri" w:cs="Calibri"/>
          <w:sz w:val="21"/>
        </w:rPr>
        <w:t xml:space="preserve">•	</w:t>
      </w:r>
      <w:r>
        <w:rPr>
          <w:rFonts w:ascii="Calibri" w:hAnsi="Calibri" w:cs="Calibri"/>
          <w:b/>
          <w:sz w:val="21"/>
        </w:rPr>
        <w:t xml:space="preserve">Not dropped as routine: </w:t>
      </w:r>
      <w:r>
        <w:rPr>
          <w:rFonts w:ascii="Calibri" w:hAnsi="Calibri" w:cs="Calibri"/>
          <w:sz w:val="21"/>
        </w:rPr>
        <w:t xml:space="preserve">IT Governance documents keep every instrument type, as CMS, SNAP and TANF do.</w:t>
      </w:r>
    </w:p>
    <w:p>
      <w:pPr>
        <w:spacing w:before="0" w:after="60"/>
        <w:ind w:left="360" w:hanging="260"/>
      </w:pPr>
      <w:r>
        <w:rPr>
          <w:rFonts w:ascii="Calibri" w:hAnsi="Calibri" w:cs="Calibri"/>
          <w:sz w:val="21"/>
        </w:rPr>
        <w:t xml:space="preserve">•	</w:t>
      </w:r>
      <w:r>
        <w:rPr>
          <w:rFonts w:ascii="Calibri" w:hAnsi="Calibri" w:cs="Calibri"/>
          <w:b/>
          <w:sz w:val="21"/>
        </w:rPr>
        <w:t xml:space="preserve">Reference block (built with Part A): </w:t>
      </w:r>
      <w:r>
        <w:rPr>
          <w:rFonts w:ascii="Calibri" w:hAnsi="Calibri" w:cs="Calibri"/>
          <w:sz w:val="21"/>
        </w:rPr>
        <w:t xml:space="preserve">the weekly reference list described under Part B reads only the tracked register, needs no network, and was therefore built with Part A (generator v9.8). Until Part B ships it ends with "Change monitoring of these sources is not yet active (ADR-048 Part B)."</w:t>
      </w:r>
    </w:p>
    <w:p>
      <w:pPr>
        <w:spacing w:before="0" w:after="60"/>
        <w:ind w:left="360" w:hanging="260"/>
      </w:pPr>
      <w:r>
        <w:rPr>
          <w:rFonts w:ascii="Calibri" w:hAnsi="Calibri" w:cs="Calibri"/>
          <w:sz w:val="21"/>
        </w:rPr>
        <w:t xml:space="preserve">•	</w:t>
      </w:r>
      <w:r>
        <w:rPr>
          <w:rFonts w:ascii="Calibri" w:hAnsi="Calibri" w:cs="Calibri"/>
          <w:b/>
          <w:sz w:val="21"/>
        </w:rPr>
        <w:t xml:space="preserve">Model and verifier: </w:t>
      </w:r>
      <w:r>
        <w:rPr>
          <w:rFonts w:ascii="Calibri" w:hAnsi="Calibri" w:cs="Calibri"/>
          <w:sz w:val="21"/>
        </w:rPr>
        <w:t xml:space="preserve">synthesised and verified exactly as the other sections; one more model call per brief when the section has documents.</w:t>
      </w:r>
    </w:p>
    <w:p>
      <w:pPr>
        <w:spacing w:before="120" w:after="100"/>
      </w:pPr>
      <w:r>
        <w:rPr>
          <w:rFonts w:ascii="Calibri" w:hAnsi="Calibri" w:cs="Calibri"/>
          <w:b/>
          <w:sz w:val="21"/>
        </w:rPr>
        <w:t xml:space="preserve">Part B — Source and authority change monitoring (new outbound access).</w:t>
      </w:r>
    </w:p>
    <w:p>
      <w:pPr>
        <w:spacing w:before="0" w:after="60"/>
        <w:ind w:left="360" w:hanging="260"/>
      </w:pPr>
      <w:r>
        <w:rPr>
          <w:rFonts w:ascii="Calibri" w:hAnsi="Calibri" w:cs="Calibri"/>
          <w:sz w:val="21"/>
        </w:rPr>
        <w:t xml:space="preserve">•	</w:t>
      </w:r>
      <w:r>
        <w:rPr>
          <w:rFonts w:ascii="Calibri" w:hAnsi="Calibri" w:cs="Calibri"/>
          <w:b/>
          <w:sz w:val="21"/>
        </w:rPr>
        <w:t xml:space="preserve">What is checked, weekly: </w:t>
      </w:r>
      <w:r>
        <w:rPr>
          <w:rFonts w:ascii="Calibri" w:hAnsi="Calibri" w:cs="Calibri"/>
          <w:sz w:val="21"/>
        </w:rPr>
        <w:t xml:space="preserve">Pub 1075 (Last-Modified and SHA-256 of the PDF); the ARC-AMPE link list on the CMS page; each CFR section or part in the register (eCFR versioner latest amendment date); each statute section in the register (SHA-256 of the section text on uscode.house.gov, navigation stripped).</w:t>
      </w:r>
    </w:p>
    <w:p>
      <w:pPr>
        <w:spacing w:before="0" w:after="60"/>
        <w:ind w:left="360" w:hanging="260"/>
      </w:pPr>
      <w:r>
        <w:rPr>
          <w:rFonts w:ascii="Calibri" w:hAnsi="Calibri" w:cs="Calibri"/>
          <w:sz w:val="21"/>
        </w:rPr>
        <w:t xml:space="preserve">•	</w:t>
      </w:r>
      <w:r>
        <w:rPr>
          <w:rFonts w:ascii="Calibri" w:hAnsi="Calibri" w:cs="Calibri"/>
          <w:b/>
          <w:sz w:val="21"/>
        </w:rPr>
        <w:t xml:space="preserve">What the brief says: </w:t>
      </w:r>
      <w:r>
        <w:rPr>
          <w:rFonts w:ascii="Calibri" w:hAnsi="Calibri" w:cs="Calibri"/>
          <w:sz w:val="21"/>
        </w:rPr>
        <w:t xml:space="preserve">deterministic text, never model-written — "Change detected: &lt;source&gt; — &lt;what changed&gt; — &lt;link&gt;", or "No change detected in the N monitored sources since &lt;date&gt;". A reference list follows every week, whether or not anything changed (operator decision): each framework, its current version and its governing authorities, each linked to uscode.house.gov or ecfr.gov.</w:t>
      </w:r>
    </w:p>
    <w:p>
      <w:pPr>
        <w:spacing w:before="0" w:after="60"/>
        <w:ind w:left="360" w:hanging="260"/>
      </w:pPr>
      <w:r>
        <w:rPr>
          <w:rFonts w:ascii="Calibri" w:hAnsi="Calibri" w:cs="Calibri"/>
          <w:sz w:val="21"/>
        </w:rPr>
        <w:t xml:space="preserve">•	</w:t>
      </w:r>
      <w:r>
        <w:rPr>
          <w:rFonts w:ascii="Calibri" w:hAnsi="Calibri" w:cs="Calibri"/>
          <w:b/>
          <w:sz w:val="21"/>
        </w:rPr>
        <w:t xml:space="preserve">Storage: </w:t>
      </w:r>
      <w:r>
        <w:rPr>
          <w:rFonts w:ascii="Calibri" w:hAnsi="Calibri" w:cs="Calibri"/>
          <w:sz w:val="21"/>
        </w:rPr>
        <w:t xml:space="preserve">fingerprints in a new table governance_sources (migration 008, schema 8 → 9): source id, URL, last checked, last changed, fingerprint, version label. The first run records baselines and reports no changes.</w:t>
      </w:r>
    </w:p>
    <w:p>
      <w:pPr>
        <w:spacing w:before="0" w:after="60"/>
        <w:ind w:left="360" w:hanging="260"/>
      </w:pPr>
      <w:r>
        <w:rPr>
          <w:rFonts w:ascii="Calibri" w:hAnsi="Calibri" w:cs="Calibri"/>
          <w:sz w:val="21"/>
        </w:rPr>
        <w:t xml:space="preserve">•	</w:t>
      </w:r>
      <w:r>
        <w:rPr>
          <w:rFonts w:ascii="Calibri" w:hAnsi="Calibri" w:cs="Calibri"/>
          <w:b/>
          <w:sz w:val="21"/>
        </w:rPr>
        <w:t xml:space="preserve">Failure handling: </w:t>
      </w:r>
      <w:r>
        <w:rPr>
          <w:rFonts w:ascii="Calibri" w:hAnsi="Calibri" w:cs="Calibri"/>
          <w:sz w:val="21"/>
        </w:rPr>
        <w:t xml:space="preserve">a fetch failure never fails the brief. The section says "could not be checked: &lt;source&gt;" and the next run retries. No manual review queue.</w:t>
      </w:r>
    </w:p>
    <w:p>
      <w:pPr>
        <w:spacing w:before="0" w:after="60"/>
        <w:ind w:left="360" w:hanging="260"/>
      </w:pPr>
      <w:r>
        <w:rPr>
          <w:rFonts w:ascii="Calibri" w:hAnsi="Calibri" w:cs="Calibri"/>
          <w:sz w:val="21"/>
        </w:rPr>
        <w:t xml:space="preserve">•	</w:t>
      </w:r>
      <w:r>
        <w:rPr>
          <w:rFonts w:ascii="Calibri" w:hAnsi="Calibri" w:cs="Calibri"/>
          <w:b/>
          <w:sz w:val="21"/>
        </w:rPr>
        <w:t xml:space="preserve">Outbound additions: </w:t>
      </w:r>
      <w:r>
        <w:rPr>
          <w:rFonts w:ascii="Calibri" w:hAnsi="Calibri" w:cs="Calibri"/>
          <w:sz w:val="21"/>
        </w:rPr>
        <w:t xml:space="preserve">www.irs.gov, www.cms.gov, www.ecfr.gov, uscode.house.gov — read-only GETs from the host generator. Requires amending ADR-014 §7 (auto mode is limited to the generator's SMTP and the Federal Register API), in Manual mode.</w:t>
      </w:r>
    </w:p>
    <w:p>
      <w:pPr>
        <w:spacing w:before="0" w:after="60"/>
        <w:ind w:left="360" w:hanging="260"/>
      </w:pPr>
      <w:r>
        <w:rPr>
          <w:rFonts w:ascii="Calibri" w:hAnsi="Calibri" w:cs="Calibri"/>
          <w:sz w:val="21"/>
        </w:rPr>
        <w:t xml:space="preserve">•	</w:t>
      </w:r>
      <w:r>
        <w:rPr>
          <w:rFonts w:ascii="Calibri" w:hAnsi="Calibri" w:cs="Calibri"/>
          <w:b/>
          <w:sz w:val="21"/>
        </w:rPr>
        <w:t xml:space="preserve">TSSR: </w:t>
      </w:r>
      <w:r>
        <w:rPr>
          <w:rFonts w:ascii="Calibri" w:hAnsi="Calibri" w:cs="Calibri"/>
          <w:sz w:val="21"/>
        </w:rPr>
        <w:t xml:space="preserve">listed in the reference block with "version on file 8.50 (2019) — not automatically monitored; SSA blocks automated access".</w:t>
      </w:r>
    </w:p>
    <w:p>
      <w:pPr>
        <w:spacing w:before="240" w:after="80"/>
      </w:pPr>
      <w:r>
        <w:rPr>
          <w:rFonts w:ascii="Calibri" w:hAnsi="Calibri" w:cs="Calibri"/>
          <w:b/>
          <w:sz w:val="26"/>
        </w:rPr>
        <w:t xml:space="preserve">6. Implementation Sequence (each step approved)</w:t>
      </w:r>
    </w:p>
    <w:p>
      <w:pPr>
        <w:spacing w:before="0" w:after="60"/>
        <w:ind w:left="360" w:hanging="260"/>
      </w:pPr>
      <w:r>
        <w:rPr>
          <w:rFonts w:ascii="Calibri" w:hAnsi="Calibri" w:cs="Calibri"/>
          <w:sz w:val="21"/>
        </w:rPr>
        <w:t xml:space="preserve">•	</w:t>
      </w:r>
      <w:r>
        <w:rPr>
          <w:rFonts w:ascii="Calibri" w:hAnsi="Calibri" w:cs="Calibri"/>
          <w:b/>
          <w:sz w:val="21"/>
        </w:rPr>
        <w:t xml:space="preserve">1. </w:t>
      </w:r>
      <w:r>
        <w:rPr>
          <w:rFonts w:ascii="Calibri" w:hAnsi="Calibri" w:cs="Calibri"/>
          <w:sz w:val="21"/>
        </w:rPr>
        <w:t xml:space="preserve">Part A routing — generator v9.8, offline tests, then a review-only run. Can be tested the same day.</w:t>
      </w:r>
    </w:p>
    <w:p>
      <w:pPr>
        <w:spacing w:before="0" w:after="60"/>
        <w:ind w:left="360" w:hanging="260"/>
      </w:pPr>
      <w:r>
        <w:rPr>
          <w:rFonts w:ascii="Calibri" w:hAnsi="Calibri" w:cs="Calibri"/>
          <w:sz w:val="21"/>
        </w:rPr>
        <w:t xml:space="preserve">•	</w:t>
      </w:r>
      <w:r>
        <w:rPr>
          <w:rFonts w:ascii="Calibri" w:hAnsi="Calibri" w:cs="Calibri"/>
          <w:b/>
          <w:sz w:val="21"/>
        </w:rPr>
        <w:t xml:space="preserve">2. </w:t>
      </w:r>
      <w:r>
        <w:rPr>
          <w:rFonts w:ascii="Calibri" w:hAnsi="Calibri" w:cs="Calibri"/>
          <w:sz w:val="21"/>
        </w:rPr>
        <w:t xml:space="preserve">Operator decisions in Section 8 applied to the register.</w:t>
      </w:r>
    </w:p>
    <w:p>
      <w:pPr>
        <w:spacing w:before="0" w:after="60"/>
        <w:ind w:left="360" w:hanging="260"/>
      </w:pPr>
      <w:r>
        <w:rPr>
          <w:rFonts w:ascii="Calibri" w:hAnsi="Calibri" w:cs="Calibri"/>
          <w:sz w:val="21"/>
        </w:rPr>
        <w:t xml:space="preserve">•	</w:t>
      </w:r>
      <w:r>
        <w:rPr>
          <w:rFonts w:ascii="Calibri" w:hAnsi="Calibri" w:cs="Calibri"/>
          <w:b/>
          <w:sz w:val="21"/>
        </w:rPr>
        <w:t xml:space="preserve">3. </w:t>
      </w:r>
      <w:r>
        <w:rPr>
          <w:rFonts w:ascii="Calibri" w:hAnsi="Calibri" w:cs="Calibri"/>
          <w:sz w:val="21"/>
        </w:rPr>
        <w:t xml:space="preserve">ADR-014 §7 amendment for the four hosts (Manual mode).</w:t>
      </w:r>
    </w:p>
    <w:p>
      <w:pPr>
        <w:spacing w:before="0" w:after="60"/>
        <w:ind w:left="360" w:hanging="260"/>
      </w:pPr>
      <w:r>
        <w:rPr>
          <w:rFonts w:ascii="Calibri" w:hAnsi="Calibri" w:cs="Calibri"/>
          <w:sz w:val="21"/>
        </w:rPr>
        <w:t xml:space="preserve">•	</w:t>
      </w:r>
      <w:r>
        <w:rPr>
          <w:rFonts w:ascii="Calibri" w:hAnsi="Calibri" w:cs="Calibri"/>
          <w:b/>
          <w:sz w:val="21"/>
        </w:rPr>
        <w:t xml:space="preserve">4. </w:t>
      </w:r>
      <w:r>
        <w:rPr>
          <w:rFonts w:ascii="Calibri" w:hAnsi="Calibri" w:cs="Calibri"/>
          <w:sz w:val="21"/>
        </w:rPr>
        <w:t xml:space="preserve">Part B — migration 008, monitor module with offline tests (canned responses; no network in tests), reference block; scratch-database run.</w:t>
      </w:r>
    </w:p>
    <w:p>
      <w:pPr>
        <w:spacing w:before="0" w:after="60"/>
        <w:ind w:left="360" w:hanging="260"/>
      </w:pPr>
      <w:r>
        <w:rPr>
          <w:rFonts w:ascii="Calibri" w:hAnsi="Calibri" w:cs="Calibri"/>
          <w:sz w:val="21"/>
        </w:rPr>
        <w:t xml:space="preserve">•	</w:t>
      </w:r>
      <w:r>
        <w:rPr>
          <w:rFonts w:ascii="Calibri" w:hAnsi="Calibri" w:cs="Calibri"/>
          <w:b/>
          <w:sz w:val="21"/>
        </w:rPr>
        <w:t xml:space="preserve">5. </w:t>
      </w:r>
      <w:r>
        <w:rPr>
          <w:rFonts w:ascii="Calibri" w:hAnsi="Calibri" w:cs="Calibri"/>
          <w:sz w:val="21"/>
        </w:rPr>
        <w:t xml:space="preserve">First live run records baselines; review-only brief; then the next weekly --send.</w:t>
      </w:r>
    </w:p>
    <w:p>
      <w:pPr>
        <w:spacing w:before="0" w:after="60"/>
        <w:ind w:left="360" w:hanging="260"/>
      </w:pPr>
      <w:r>
        <w:rPr>
          <w:rFonts w:ascii="Calibri" w:hAnsi="Calibri" w:cs="Calibri"/>
          <w:sz w:val="21"/>
        </w:rPr>
        <w:t xml:space="preserve">•	</w:t>
      </w:r>
      <w:r>
        <w:rPr>
          <w:rFonts w:ascii="Calibri" w:hAnsi="Calibri" w:cs="Calibri"/>
          <w:b/>
          <w:sz w:val="21"/>
        </w:rPr>
        <w:t xml:space="preserve">6. </w:t>
      </w:r>
      <w:r>
        <w:rPr>
          <w:rFonts w:ascii="Calibri" w:hAnsi="Calibri" w:cs="Calibri"/>
          <w:sz w:val="21"/>
        </w:rPr>
        <w:t xml:space="preserve">federal_policy_brief_DECISIONS.md updated (section list; links decision from Entry #050).</w:t>
      </w:r>
    </w:p>
    <w:p>
      <w:pPr>
        <w:spacing w:before="240" w:after="80"/>
      </w:pPr>
      <w:r>
        <w:rPr>
          <w:rFonts w:ascii="Calibri" w:hAnsi="Calibri" w:cs="Calibri"/>
          <w:b/>
          <w:sz w:val="26"/>
        </w:rPr>
        <w:t xml:space="preserve">7. Consequences</w:t>
      </w:r>
    </w:p>
    <w:p>
      <w:pPr>
        <w:spacing w:before="0" w:after="60"/>
        <w:ind w:left="360" w:hanging="260"/>
      </w:pPr>
      <w:r>
        <w:rPr>
          <w:rFonts w:ascii="Calibri" w:hAnsi="Calibri" w:cs="Calibri"/>
          <w:sz w:val="21"/>
        </w:rPr>
        <w:t xml:space="preserve">•	</w:t>
      </w:r>
      <w:r>
        <w:rPr>
          <w:rFonts w:ascii="Calibri" w:hAnsi="Calibri" w:cs="Calibri"/>
          <w:b/>
          <w:sz w:val="21"/>
        </w:rPr>
        <w:t xml:space="preserve">Positive: </w:t>
      </w:r>
      <w:r>
        <w:rPr>
          <w:rFonts w:ascii="Calibri" w:hAnsi="Calibri" w:cs="Calibri"/>
          <w:sz w:val="21"/>
        </w:rPr>
        <w:t xml:space="preserve">safeguarding changes reach the reader in the weekly brief; statute and CFR changes are detected even though the Federal Register scraper cannot see them; the reference block gives the reader the current version and the governing law in one place.</w:t>
      </w:r>
    </w:p>
    <w:p>
      <w:pPr>
        <w:spacing w:before="0" w:after="60"/>
        <w:ind w:left="360" w:hanging="260"/>
      </w:pPr>
      <w:r>
        <w:rPr>
          <w:rFonts w:ascii="Calibri" w:hAnsi="Calibri" w:cs="Calibri"/>
          <w:sz w:val="21"/>
        </w:rPr>
        <w:t xml:space="preserve">•	</w:t>
      </w:r>
      <w:r>
        <w:rPr>
          <w:rFonts w:ascii="Calibri" w:hAnsi="Calibri" w:cs="Calibri"/>
          <w:b/>
          <w:sz w:val="21"/>
        </w:rPr>
        <w:t xml:space="preserve">Negative: </w:t>
      </w:r>
      <w:r>
        <w:rPr>
          <w:rFonts w:ascii="Calibri" w:hAnsi="Calibri" w:cs="Calibri"/>
          <w:sz w:val="21"/>
        </w:rPr>
        <w:t xml:space="preserve">four new outbound hosts; page-structure changes on cms.gov or uscode.house.gov can cause false "changed" or "could not be checked" lines; the TSSR stays manual; one more model call per brief.</w:t>
      </w:r>
    </w:p>
    <w:p>
      <w:pPr>
        <w:spacing w:before="0" w:after="60"/>
        <w:ind w:left="360" w:hanging="260"/>
      </w:pPr>
      <w:r>
        <w:rPr>
          <w:rFonts w:ascii="Calibri" w:hAnsi="Calibri" w:cs="Calibri"/>
          <w:sz w:val="21"/>
        </w:rPr>
        <w:t xml:space="preserve">•	</w:t>
      </w:r>
      <w:r>
        <w:rPr>
          <w:rFonts w:ascii="Calibri" w:hAnsi="Calibri" w:cs="Calibri"/>
          <w:b/>
          <w:sz w:val="21"/>
        </w:rPr>
        <w:t xml:space="preserve">Revisit if: </w:t>
      </w:r>
      <w:r>
        <w:rPr>
          <w:rFonts w:ascii="Calibri" w:hAnsi="Calibri" w:cs="Calibri"/>
          <w:sz w:val="21"/>
        </w:rPr>
        <w:t xml:space="preserve">SSA publishes the TSSR at an automatable address; CMS moves ARC-AMPE; a monitored source produces repeated false changes.</w:t>
      </w:r>
    </w:p>
    <w:p>
      <w:pPr>
        <w:spacing w:before="240" w:after="80"/>
      </w:pPr>
      <w:r>
        <w:rPr>
          <w:rFonts w:ascii="Calibri" w:hAnsi="Calibri" w:cs="Calibri"/>
          <w:b/>
          <w:sz w:val="26"/>
        </w:rPr>
        <w:t xml:space="preserve">8. Open Questions for the Operator</w:t>
      </w:r>
    </w:p>
    <w:p>
      <w:pPr>
        <w:spacing w:before="0" w:after="60"/>
        <w:ind w:left="360" w:hanging="260"/>
      </w:pPr>
      <w:r>
        <w:rPr>
          <w:rFonts w:ascii="Calibri" w:hAnsi="Calibri" w:cs="Calibri"/>
          <w:sz w:val="21"/>
        </w:rPr>
        <w:t xml:space="preserve">•	</w:t>
      </w:r>
      <w:r>
        <w:rPr>
          <w:rFonts w:ascii="Calibri" w:hAnsi="Calibri" w:cs="Calibri"/>
          <w:b/>
          <w:sz w:val="21"/>
        </w:rPr>
        <w:t xml:space="preserve">1. </w:t>
      </w:r>
      <w:r>
        <w:rPr>
          <w:rFonts w:ascii="Calibri" w:hAnsi="Calibri" w:cs="Calibri"/>
          <w:sz w:val="21"/>
        </w:rPr>
        <w:t xml:space="preserve">Include the four retrieved-but-uncited regulations (26 CFR 301.6103(p)(4)-1 and (p)(7)-1, 42 CFR part 431 subpart F, 20 CFR part 401)?</w:t>
      </w:r>
    </w:p>
    <w:p>
      <w:pPr>
        <w:spacing w:before="0" w:after="60"/>
        <w:ind w:left="360" w:hanging="260"/>
      </w:pPr>
      <w:r>
        <w:rPr>
          <w:rFonts w:ascii="Calibri" w:hAnsi="Calibri" w:cs="Calibri"/>
          <w:sz w:val="21"/>
        </w:rPr>
        <w:t xml:space="preserve">•	</w:t>
      </w:r>
      <w:r>
        <w:rPr>
          <w:rFonts w:ascii="Calibri" w:hAnsi="Calibri" w:cs="Calibri"/>
          <w:b/>
          <w:sz w:val="21"/>
        </w:rPr>
        <w:t xml:space="preserve">2. </w:t>
      </w:r>
      <w:r>
        <w:rPr>
          <w:rFonts w:ascii="Calibri" w:hAnsi="Calibri" w:cs="Calibri"/>
          <w:sz w:val="21"/>
        </w:rPr>
        <w:t xml:space="preserve">Section placement — after TANF (proposed), or first after the executive summary?</w:t>
      </w:r>
    </w:p>
    <w:p>
      <w:pPr>
        <w:spacing w:before="0" w:after="60"/>
        <w:ind w:left="360" w:hanging="260"/>
      </w:pPr>
      <w:r>
        <w:rPr>
          <w:rFonts w:ascii="Calibri" w:hAnsi="Calibri" w:cs="Calibri"/>
          <w:sz w:val="21"/>
        </w:rPr>
        <w:t xml:space="preserve">•	</w:t>
      </w:r>
      <w:r>
        <w:rPr>
          <w:rFonts w:ascii="Calibri" w:hAnsi="Calibri" w:cs="Calibri"/>
          <w:b/>
          <w:sz w:val="21"/>
        </w:rPr>
        <w:t xml:space="preserve">3. </w:t>
      </w:r>
      <w:r>
        <w:rPr>
          <w:rFonts w:ascii="Calibri" w:hAnsi="Calibri" w:cs="Calibri"/>
          <w:sz w:val="21"/>
        </w:rPr>
        <w:t xml:space="preserve">Reference block every week (proposed) or only when something changed?</w:t>
      </w:r>
    </w:p>
    <w:p>
      <w:pPr>
        <w:spacing w:before="0" w:after="60"/>
        <w:ind w:left="360" w:hanging="260"/>
      </w:pPr>
      <w:r>
        <w:rPr>
          <w:rFonts w:ascii="Calibri" w:hAnsi="Calibri" w:cs="Calibri"/>
          <w:sz w:val="21"/>
        </w:rPr>
        <w:t xml:space="preserve">•	</w:t>
      </w:r>
      <w:r>
        <w:rPr>
          <w:rFonts w:ascii="Calibri" w:hAnsi="Calibri" w:cs="Calibri"/>
          <w:b/>
          <w:sz w:val="21"/>
        </w:rPr>
        <w:t xml:space="preserve">4. </w:t>
      </w:r>
      <w:r>
        <w:rPr>
          <w:rFonts w:ascii="Calibri" w:hAnsi="Calibri" w:cs="Calibri"/>
          <w:sz w:val="21"/>
        </w:rPr>
        <w:t xml:space="preserve">Do you have a current TSSR, and do you want ARC-AMPE v1.03 tracked from a copy you supply?</w:t>
      </w:r>
    </w:p>
    <w:p>
      <w:pPr>
        <w:spacing w:before="240" w:after="80"/>
      </w:pPr>
      <w:r>
        <w:rPr>
          <w:rFonts w:ascii="Calibri" w:hAnsi="Calibri" w:cs="Calibri"/>
          <w:b/>
          <w:sz w:val="26"/>
        </w:rPr>
        <w:t xml:space="preserve">9. Operator Decisions (September 30, 2026)</w:t>
      </w:r>
    </w:p>
    <w:tbl>
      <w:tblPr>
        <w:tblW w:w="1008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80" w:type="dxa"/>
          <w:right w:w="80" w:type="dxa"/>
        </w:tblCellMar>
      </w:tblPr>
      <w:tblGrid>
        <w:gridCol w:w="3200"/>
        <w:gridCol w:w="6880"/>
      </w:tblGrid>
      <w:tr>
        <w:tc>
          <w:tcPr>
            <w:tcW w:w="3200" w:type="dxa"/>
            <w:shd w:val="clear" w:color="auto" w:fill="F2F2F2"/>
          </w:tcPr>
          <w:p>
            <w:pPr>
              <w:spacing w:before="0" w:after="0"/>
            </w:pPr>
            <w:r>
              <w:rPr>
                <w:rFonts w:ascii="Calibri" w:hAnsi="Calibri" w:cs="Calibri"/>
                <w:b/>
                <w:sz w:val="20"/>
              </w:rPr>
              <w:t xml:space="preserve">Question</w:t>
            </w:r>
          </w:p>
        </w:tc>
        <w:tc>
          <w:tcPr>
            <w:tcW w:w="6880" w:type="dxa"/>
            <w:shd w:val="clear" w:color="auto" w:fill="F2F2F2"/>
          </w:tcPr>
          <w:p>
            <w:pPr>
              <w:spacing w:before="0" w:after="0"/>
            </w:pPr>
            <w:r>
              <w:rPr>
                <w:rFonts w:ascii="Calibri" w:hAnsi="Calibri" w:cs="Calibri"/>
                <w:b/>
                <w:sz w:val="20"/>
              </w:rPr>
              <w:t xml:space="preserve">Decision</w:t>
            </w:r>
          </w:p>
        </w:tc>
      </w:tr>
      <w:tr>
        <w:tc>
          <w:tcPr>
            <w:tcW w:w="3200" w:type="dxa"/>
          </w:tcPr>
          <w:p>
            <w:pPr>
              <w:spacing w:before="0" w:after="0"/>
            </w:pPr>
            <w:r>
              <w:rPr>
                <w:rFonts w:ascii="Calibri" w:hAnsi="Calibri" w:cs="Calibri"/>
                <w:sz w:val="20"/>
              </w:rPr>
              <w:t xml:space="preserve">IRC section</w:t>
            </w:r>
          </w:p>
        </w:tc>
        <w:tc>
          <w:tcPr>
            <w:tcW w:w="6880" w:type="dxa"/>
          </w:tcPr>
          <w:p>
            <w:pPr>
              <w:spacing w:before="0" w:after="0"/>
            </w:pPr>
            <w:r>
              <w:rPr>
                <w:rFonts w:ascii="Calibri" w:hAnsi="Calibri" w:cs="Calibri"/>
                <w:sz w:val="20"/>
              </w:rPr>
              <w:t xml:space="preserve">26 U.S.C. 6103 confirmed.</w:t>
            </w:r>
          </w:p>
        </w:tc>
      </w:tr>
      <w:tr>
        <w:tc>
          <w:tcPr>
            <w:tcW w:w="3200" w:type="dxa"/>
          </w:tcPr>
          <w:p>
            <w:pPr>
              <w:spacing w:before="0" w:after="0"/>
            </w:pPr>
            <w:r>
              <w:rPr>
                <w:rFonts w:ascii="Calibri" w:hAnsi="Calibri" w:cs="Calibri"/>
                <w:sz w:val="20"/>
              </w:rPr>
              <w:t xml:space="preserve">Four retrieved-but-uncited regulations</w:t>
            </w:r>
          </w:p>
        </w:tc>
        <w:tc>
          <w:tcPr>
            <w:tcW w:w="6880" w:type="dxa"/>
          </w:tcPr>
          <w:p>
            <w:pPr>
              <w:spacing w:before="0" w:after="0"/>
            </w:pPr>
            <w:r>
              <w:rPr>
                <w:rFonts w:ascii="Calibri" w:hAnsi="Calibri" w:cs="Calibri"/>
                <w:sz w:val="20"/>
              </w:rPr>
              <w:t xml:space="preserve">Include all four; revisit after examining the output test.</w:t>
            </w:r>
          </w:p>
        </w:tc>
      </w:tr>
      <w:tr>
        <w:tc>
          <w:tcPr>
            <w:tcW w:w="3200" w:type="dxa"/>
          </w:tcPr>
          <w:p>
            <w:pPr>
              <w:spacing w:before="0" w:after="0"/>
            </w:pPr>
            <w:r>
              <w:rPr>
                <w:rFonts w:ascii="Calibri" w:hAnsi="Calibri" w:cs="Calibri"/>
                <w:sz w:val="20"/>
              </w:rPr>
              <w:t xml:space="preserve">Section placement</w:t>
            </w:r>
          </w:p>
        </w:tc>
        <w:tc>
          <w:tcPr>
            <w:tcW w:w="6880" w:type="dxa"/>
          </w:tcPr>
          <w:p>
            <w:pPr>
              <w:spacing w:before="0" w:after="0"/>
            </w:pPr>
            <w:r>
              <w:rPr>
                <w:rFonts w:ascii="Calibri" w:hAnsi="Calibri" w:cs="Calibri"/>
                <w:sz w:val="20"/>
              </w:rPr>
              <w:t xml:space="preserve">After TANF, before Cross-Program.</w:t>
            </w:r>
          </w:p>
        </w:tc>
      </w:tr>
      <w:tr>
        <w:tc>
          <w:tcPr>
            <w:tcW w:w="3200" w:type="dxa"/>
          </w:tcPr>
          <w:p>
            <w:pPr>
              <w:spacing w:before="0" w:after="0"/>
            </w:pPr>
            <w:r>
              <w:rPr>
                <w:rFonts w:ascii="Calibri" w:hAnsi="Calibri" w:cs="Calibri"/>
                <w:sz w:val="20"/>
              </w:rPr>
              <w:t xml:space="preserve">Reference block</w:t>
            </w:r>
          </w:p>
        </w:tc>
        <w:tc>
          <w:tcPr>
            <w:tcW w:w="6880" w:type="dxa"/>
          </w:tcPr>
          <w:p>
            <w:pPr>
              <w:spacing w:before="0" w:after="0"/>
            </w:pPr>
            <w:r>
              <w:rPr>
                <w:rFonts w:ascii="Calibri" w:hAnsi="Calibri" w:cs="Calibri"/>
                <w:sz w:val="20"/>
              </w:rPr>
              <w:t xml:space="preserve">Every week, and change lines whenever something changes.</w:t>
            </w:r>
          </w:p>
        </w:tc>
      </w:tr>
      <w:tr>
        <w:tc>
          <w:tcPr>
            <w:tcW w:w="3200" w:type="dxa"/>
          </w:tcPr>
          <w:p>
            <w:pPr>
              <w:spacing w:before="0" w:after="0"/>
            </w:pPr>
            <w:r>
              <w:rPr>
                <w:rFonts w:ascii="Calibri" w:hAnsi="Calibri" w:cs="Calibri"/>
                <w:sz w:val="20"/>
              </w:rPr>
              <w:t xml:space="preserve">TSSR</w:t>
            </w:r>
          </w:p>
        </w:tc>
        <w:tc>
          <w:tcPr>
            <w:tcW w:w="6880" w:type="dxa"/>
          </w:tcPr>
          <w:p>
            <w:pPr>
              <w:spacing w:before="0" w:after="0"/>
            </w:pPr>
            <w:r>
              <w:rPr>
                <w:rFonts w:ascii="Calibri" w:hAnsi="Calibri" w:cs="Calibri"/>
                <w:sz w:val="20"/>
              </w:rPr>
              <w:t xml:space="preserve">Supplied September 30, 2026: TSSR v12.1 (April 28, 2026) and ARC-AMPE Vol. I v1.0.4 (May 7, 2026); register updated.</w:t>
            </w:r>
          </w:p>
        </w:tc>
      </w:tr>
      <w:tr>
        <w:tc>
          <w:tcPr>
            <w:tcW w:w="3200" w:type="dxa"/>
          </w:tcPr>
          <w:p>
            <w:pPr>
              <w:spacing w:before="0" w:after="0"/>
            </w:pPr>
            <w:r>
              <w:rPr>
                <w:rFonts w:ascii="Calibri" w:hAnsi="Calibri" w:cs="Calibri"/>
                <w:sz w:val="20"/>
              </w:rPr>
              <w:t xml:space="preserve">Part A</w:t>
            </w:r>
          </w:p>
        </w:tc>
        <w:tc>
          <w:tcPr>
            <w:tcW w:w="6880" w:type="dxa"/>
          </w:tcPr>
          <w:p>
            <w:pPr>
              <w:spacing w:before="0" w:after="0"/>
            </w:pPr>
            <w:r>
              <w:rPr>
                <w:rFonts w:ascii="Calibri" w:hAnsi="Calibri" w:cs="Calibri"/>
                <w:sz w:val="20"/>
              </w:rPr>
              <w:t xml:space="preserve">APPROVED — built the same day as generator v9.8 (Entry #050); 25 offline tests; review-only run clean.</w:t>
            </w:r>
          </w:p>
        </w:tc>
      </w:tr>
    </w:tbl>
    <w:p>
      <w:pPr>
        <w:spacing w:before="0" w:after="100"/>
      </w:pPr>
      <w:r>
        <w:rPr>
          <w:rFonts w:ascii="Calibri" w:hAnsi="Calibri" w:cs="Calibri"/>
          <w:color w:val="555555"/>
          <w:sz w:val="19"/>
        </w:rPr>
        <w:t xml:space="preserve">Sheldon Wheeler — OpenClaw Personal Stack — ADR-048 — Drafted September 30, 2026; operator decisions recorded September 30, 2026 — Status PROPOSED, Part A APPROVED</w:t>
      </w:r>
    </w:p>
    <w:sectPr>
      <w:pgSz w:w="12240" w:h="15840" w:orient="portrait"/>
      <w:pgMar w:top="1080" w:right="1080" w:bottom="1080" w:left="1080" w:header="720" w:footer="720" w:gutter="0"/>
    </w:sectPr>
  </w:body>
</w:document>
</file>