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ADR-040</w:t>
      </w:r>
    </w:p>
    <w:p>
      <w:pPr>
        <w:spacing w:after="80"/>
      </w:pPr>
      <w:r>
        <w:rPr>
          <w:rFonts w:ascii="Arial" w:cs="Arial" w:eastAsia="Arial" w:hAnsi="Arial"/>
          <w:b/>
          <w:bCs/>
          <w:sz w:val="28"/>
          <w:szCs w:val="28"/>
        </w:rPr>
        <w:t xml:space="preserve">Filesystem Boundary and Sensitive Data Separation Policy</w:t>
      </w:r>
    </w:p>
    <w:p>
      <w:pPr>
        <w:spacing w:after="240"/>
      </w:pPr>
      <w:r>
        <w:rPr>
          <w:rFonts w:ascii="Arial" w:cs="Arial" w:eastAsia="Arial" w:hAnsi="Arial"/>
          <w:i/>
          <w:iCs/>
          <w:sz w:val="20"/>
          <w:szCs w:val="20"/>
        </w:rPr>
        <w:t xml:space="preserve">OpenClaw — Phase 1    |    Drafted April 19, 2026</w:t>
      </w:r>
    </w:p>
    <w:p>
      <w:pPr>
        <w:pStyle w:val="Heading1"/>
      </w:pPr>
      <w:r>
        <w:rPr>
          <w:rFonts w:ascii="Arial" w:cs="Arial" w:eastAsia="Arial" w:hAnsi="Arial"/>
          <w:b/>
          <w:bCs/>
          <w:sz w:val="32"/>
          <w:szCs w:val="32"/>
        </w:rPr>
        <w:t xml:space="preserve">1.  Decision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ADR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ADR-040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Filesystem Boundary and Sensitive Data Separation Policy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DECIDED — April 19, 2026. AMENDED September 20, 2026 by ADR-045 (enforcement model; third Section 2 breach). The boundary policy stands unchanged in intent; ADR-045 addresses the fact that nothing enforces it at the point a command runs. AMENDED September 29, 2026 by ADR-047 §9: Section 3.1 now also permits write to two named LaunchAgent files (com.openclaw.backup.plist — live since May 17, 2026, previously unlisted — and com.openclaw.ollama-env.plist), read-only ~/.ollama/logs/server.log, and states ~/.ollama/models is reached only via the ollama CLI/API. See DATA_BOUNDARIES.md v2.1. AMENDED October 2, 2026 by operator decision (changelog Entry #052): Section 3.1 now also permits look-only access for host maintenance — see the note under the Section 3.1 table and DATA_BOUNDARIES.md v2.2.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Deciders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Sheldon Wheeler (owner, sole operator)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ADR References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ADR-019 (Backup Configuration) · ADR-026 (Docker Sandboxes) · ADR-039 (Adversarial Review)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NIST 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 · AC-6 · SC-4 · SC-28 · SI-12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Immediate. Applies to all current and future OpenClaw processes.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Supersedes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Adds filesystem boundary governance not covered in prior ADRs.</w:t>
            </w:r>
          </w:p>
        </w:tc>
      </w:tr>
    </w:tbl>
    <w:p>
      <w:r>
        <w:t xml:space="preserve"/>
      </w:r>
    </w:p>
    <w:p>
      <w:pPr>
        <w:pStyle w:val="Heading1"/>
      </w:pPr>
      <w:r>
        <w:rPr>
          <w:rFonts w:ascii="Arial" w:cs="Arial" w:eastAsia="Arial" w:hAnsi="Arial"/>
          <w:b/>
          <w:bCs/>
          <w:sz w:val="32"/>
          <w:szCs w:val="32"/>
        </w:rPr>
        <w:t xml:space="preserve">2.  Context and Trigger</w:t>
      </w:r>
    </w:p>
    <w:p>
      <w:r>
        <w:t xml:space="preserve"/>
      </w:r>
    </w:p>
    <w:p>
      <w:pPr>
        <w:spacing w:after="160"/>
      </w:pPr>
      <w:r>
        <w:rPr>
          <w:rFonts w:ascii="Arial" w:cs="Arial" w:eastAsia="Arial" w:hAnsi="Arial"/>
          <w:sz w:val="20"/>
          <w:szCs w:val="20"/>
        </w:rPr>
        <w:t xml:space="preserve">During Session 16 (April 19, 2026), a routine ls command issued to locate the ADR-019 backup folder surfaced the iCloud Drive root directory. That listing included personal and sensitive documents, among them Federal Tax Information (FTI) associated with a family member. No file was opened or read; only filenames were displayed. However, the event exposed a gap: OpenClaw had no documented filesystem boundary policy. Any process, agent, or automated task could in principle traverse or list directories outside the designated working directory without operator awareness.</w:t>
      </w:r>
    </w:p>
    <w:p>
      <w:pPr>
        <w:spacing w:after="160"/>
      </w:pPr>
      <w:r>
        <w:rPr>
          <w:rFonts w:ascii="Arial" w:cs="Arial" w:eastAsia="Arial" w:hAnsi="Arial"/>
          <w:sz w:val="20"/>
          <w:szCs w:val="20"/>
        </w:rPr>
        <w:t xml:space="preserve">This ADR closes that gap by establishing explicit, permanent filesystem boundaries for all OpenClaw processes. The policy is not contingent on current behavior being harmful; it is prophylactic governance against future agent capabilities that may include filesystem tools.</w:t>
      </w:r>
    </w:p>
    <w:p>
      <w:pPr>
        <w:spacing w:after="160"/>
      </w:pPr>
      <w:r>
        <w:rPr>
          <w:rFonts w:ascii="Arial" w:cs="Arial" w:eastAsia="Arial" w:hAnsi="Arial"/>
          <w:sz w:val="20"/>
          <w:szCs w:val="20"/>
        </w:rPr>
        <w:t xml:space="preserve">The trigger is the real-time observation that the iCloud root contains FTI, personal financial documents, legal documents, and family records. No AI agent or automated process should ever encounter these files, even incidentally.</w:t>
      </w:r>
    </w:p>
    <w:p>
      <w:r>
        <w:t xml:space="preserve"/>
      </w:r>
    </w:p>
    <w:p>
      <w:pPr>
        <w:pStyle w:val="Heading1"/>
      </w:pPr>
      <w:r>
        <w:rPr>
          <w:rFonts w:ascii="Arial" w:cs="Arial" w:eastAsia="Arial" w:hAnsi="Arial"/>
          <w:b/>
          <w:bCs/>
          <w:sz w:val="32"/>
          <w:szCs w:val="32"/>
        </w:rPr>
        <w:t xml:space="preserve">3.  Decision</w:t>
      </w:r>
    </w:p>
    <w:p>
      <w:r>
        <w:t xml:space="preserve"/>
      </w:r>
    </w:p>
    <w:p>
      <w:pPr>
        <w:spacing w:after="160"/>
      </w:pPr>
      <w:r>
        <w:rPr>
          <w:rFonts w:ascii="Arial" w:cs="Arial" w:eastAsia="Arial" w:hAnsi="Arial"/>
          <w:sz w:val="20"/>
          <w:szCs w:val="20"/>
        </w:rPr>
        <w:t xml:space="preserve">OpenClaw processes — including FastAPI, scheduler tasks, scraper agents, Telegram bot, and any future persona or tool — operate within a defined set of permitted filesystem paths. Access to any path outside the permitted set is prohibited and constitutes a policy violation.</w:t>
      </w:r>
    </w:p>
    <w:p>
      <w:r>
        <w:t xml:space="preserve"/>
      </w:r>
    </w:p>
    <w:p>
      <w:pPr>
        <w:pStyle w:val="Heading2"/>
      </w:pPr>
      <w:r>
        <w:rPr>
          <w:rFonts w:ascii="Arial" w:cs="Arial" w:eastAsia="Arial" w:hAnsi="Arial"/>
          <w:b/>
          <w:bCs/>
          <w:sz w:val="28"/>
          <w:szCs w:val="28"/>
        </w:rPr>
        <w:t xml:space="preserve">3.1  Permitted Paths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Access Type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Write / Execute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working directory. All code, config, logs, and migration files.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~/Library/Mobile Documents/com~apple~CloudDocs/Mac-Mini-Backups/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Sole permitted iCloud write destination. PostgreSQL backups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area for files operator intentionally moves into OpenClaw workflows.</w:t>
            </w:r>
          </w:p>
        </w:tc>
      </w:tr>
    </w:tbl>
    <w:p>
      <w:r>
        <w:t xml:space="preserve"/>
      </w:r>
    </w:p>
    <w:p>
      <w:pPr>
        <w:spacing w:after="160"/>
      </w:pPr>
      <w:r>
        <w:rPr>
          <w:rFonts w:ascii="Arial" w:cs="Arial" w:eastAsia="Arial" w:hAnsi="Arial"/>
          <w:sz w:val="20"/>
          <w:szCs w:val="20"/>
        </w:rPr>
        <w:t xml:space="preserve">Amendment — October 2, 2026 (operator decision, changelog Entry #052; DATA_BOUNDARIES.md v2.2). Trigger: the fifth and sixth Section 2 breaches were both host-maintenance diagnosis (Homebrew, Ollama, Docker) reaching paths this section did not list. The following are added to the permitted set, for looking only:</w:t>
      </w:r>
    </w:p>
    <w:p>
      <w:pPr>
        <w:spacing w:after="160"/>
      </w:pPr>
      <w:r>
        <w:rPr>
          <w:rFonts w:ascii="Arial" w:cs="Arial" w:eastAsia="Arial" w:hAnsi="Arial"/>
          <w:sz w:val="20"/>
          <w:szCs w:val="20"/>
        </w:rPr>
        <w:t xml:space="preserve">(1) /Library/PrivilegedHelperTools/com.docker.socket and com.docker.vmnetd, and /Library/LaunchDaemons/com.docker.socket.plist and com.docker.vmnetd.plist — existence, owner and date only, these four files by explicit path; no contents, no folder listing. (2) /var/run/docker.sock and ~/.docker/run/docker.sock — existence and link target only. (3) ~/.docker/bin — list and execute. (4) /Applications/Docker.app and /Applications/Ollama.app — existence and version only, by explicit path. (5) /opt/homebrew — no direct access; reached only through the brew command. (6) ~/.zprofile — read only, this one file. (7) ~/.ollama/models/manifests — read only; the rest of ~/.ollama/models, including the weight files, remains no direct access, and nothing under it is written, moved or deleted except by Ollama. (8) ~/Library/Python — list and read.</w:t>
      </w:r>
    </w:p>
    <w:p>
      <w:pPr>
        <w:spacing w:after="160"/>
      </w:pPr>
      <w:r>
        <w:rPr>
          <w:rFonts w:ascii="Arial" w:cs="Arial" w:eastAsia="Arial" w:hAnsi="Arial"/>
          <w:sz w:val="20"/>
          <w:szCs w:val="20"/>
        </w:rPr>
        <w:t xml:space="preserve">Limits: none of these rows permits a change. Every install, uninstall, brew autoremove, settings change or edit to ~/.zprofile needs the operator’s approval for that action. Wildcards and folder listings remain prohibited except in items (3), (7) and (8). Commands that report system state without reading user folders (sw_vers, sysctl, uptime, last, pmset -g, launchctl list / print) are not filesystem access under this ADR. Sensitive-data assessment (Section 6): none of the listed locations holds personal data, except that ~/.zprofile is the operator’s shell configuration and is therefore limited to read-only access to the single file. The Section 3.2 row for ~/Library now also excepts ~/Library/Python.</w:t>
      </w:r>
    </w:p>
    <w:p>
      <w:pPr>
        <w:pStyle w:val="Heading2"/>
      </w:pPr>
      <w:r>
        <w:rPr>
          <w:rFonts w:ascii="Arial" w:cs="Arial" w:eastAsia="Arial" w:hAnsi="Arial"/>
          <w:b/>
          <w:bCs/>
          <w:sz w:val="28"/>
          <w:szCs w:val="28"/>
        </w:rPr>
        <w:t xml:space="preserve">3.2  Prohibited Paths</w:t>
      </w:r>
    </w:p>
    <w:p>
      <w:r>
        <w:t xml:space="preserve"/>
      </w:r>
    </w:p>
    <w:p>
      <w:pPr>
        <w:spacing w:after="160"/>
      </w:pPr>
      <w:r>
        <w:rPr>
          <w:rFonts w:ascii="Arial" w:cs="Arial" w:eastAsia="Arial" w:hAnsi="Arial"/>
          <w:sz w:val="20"/>
          <w:szCs w:val="20"/>
        </w:rPr>
        <w:t xml:space="preserve">The following paths are explicitly prohibited. This list is illustrative, not exhaustive. Any path not in Section 3.1 is prohibited by default.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Reason for Prohibition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~/Library/Mobile Documents/com~apple~CloudDocs/ (root)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FTI, personal financial documents, legal documents, and family records. No OpenClaw process may read, list, or write to this directory.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document store. Prohibited at current phase.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workspace. Prohibited at current phase.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 (except Mac-Mini-Backups)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and application support files. No agent traversal permitted.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other system directories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Prohibited by default. New access requires an explicit ADR amendment naming the path and purpose.</w:t>
            </w:r>
          </w:p>
        </w:tc>
      </w:tr>
    </w:tbl>
    <w:p>
      <w:r>
        <w:t xml:space="preserve"/>
      </w:r>
    </w:p>
    <w:p>
      <w:pPr>
        <w:pStyle w:val="Heading2"/>
      </w:pPr>
      <w:r>
        <w:rPr>
          <w:rFonts w:ascii="Arial" w:cs="Arial" w:eastAsia="Arial" w:hAnsi="Arial"/>
          <w:b/>
          <w:bCs/>
          <w:sz w:val="28"/>
          <w:szCs w:val="28"/>
        </w:rPr>
        <w:t xml:space="preserve">3.3  Governing Principle</w:t>
      </w:r>
    </w:p>
    <w:p>
      <w:r>
        <w:t xml:space="preserve"/>
      </w:r>
    </w:p>
    <w:p>
      <w:pPr>
        <w:spacing w:after="160"/>
      </w:pPr>
      <w:r>
        <w:rPr>
          <w:rFonts w:ascii="Arial" w:cs="Arial" w:eastAsia="Arial" w:hAnsi="Arial"/>
          <w:sz w:val="20"/>
          <w:szCs w:val="20"/>
        </w:rPr>
        <w:t xml:space="preserve">OpenClaw operates within its designated working directory. Access to any location outside Section 3.1 requires an explicit ADR-level decision naming the path, the access type, and the business purpose. This principle applies to all current and future capabilities including filesystem tools, scraper agents, and any Phase 2 or later features.</w:t>
      </w:r>
    </w:p>
    <w:p>
      <w:pPr>
        <w:spacing w:after="160"/>
      </w:pPr>
      <w:r>
        <w:rPr>
          <w:rFonts w:ascii="Arial" w:cs="Arial" w:eastAsia="Arial" w:hAnsi="Arial"/>
          <w:sz w:val="20"/>
          <w:szCs w:val="20"/>
        </w:rPr>
        <w:t xml:space="preserve">The Mac-Mini-Backups folder is the sole exception to the iCloud prohibition and exists solely for backup writes. OpenClaw processes may not read from, list, or traverse the Mac-Mini-Backups folder contents for any purpose other than confirming a successful write.</w:t>
      </w:r>
    </w:p>
    <w:p>
      <w:r>
        <w:t xml:space="preserve"/>
      </w:r>
    </w:p>
    <w:p>
      <w:pPr>
        <w:pStyle w:val="Heading1"/>
      </w:pPr>
      <w:r>
        <w:rPr>
          <w:rFonts w:ascii="Arial" w:cs="Arial" w:eastAsia="Arial" w:hAnsi="Arial"/>
          <w:b/>
          <w:bCs/>
          <w:sz w:val="32"/>
          <w:szCs w:val="32"/>
        </w:rPr>
        <w:t xml:space="preserve">4.  FTI Classification Note</w:t>
      </w:r>
    </w:p>
    <w:p>
      <w:r>
        <w:t xml:space="preserve"/>
      </w:r>
    </w:p>
    <w:p>
      <w:pPr>
        <w:spacing w:after="160"/>
      </w:pPr>
      <w:r>
        <w:rPr>
          <w:rFonts w:ascii="Arial" w:cs="Arial" w:eastAsia="Arial" w:hAnsi="Arial"/>
          <w:sz w:val="20"/>
          <w:szCs w:val="20"/>
        </w:rPr>
        <w:t xml:space="preserve">Federal Tax Information (FTI) is a category of protected data under 26 U.S.C. § 6103. The iCloud root directory of this system contains documents that include or reference FTI. This ADR does not create a formal FTI handling program — OpenClaw is a personal, non-agency system — but it acknowledges the presence of FTI on the host filesystem and establishes that no OpenClaw process will be permitted to access paths where FTI may reside.</w:t>
      </w:r>
    </w:p>
    <w:p>
      <w:pPr>
        <w:spacing w:after="160"/>
      </w:pPr>
      <w:r>
        <w:rPr>
          <w:rFonts w:ascii="Arial" w:cs="Arial" w:eastAsia="Arial" w:hAnsi="Arial"/>
          <w:sz w:val="20"/>
          <w:szCs w:val="20"/>
        </w:rPr>
        <w:t xml:space="preserve">This acknowledgment is recorded here as a permanent governance artifact. If OpenClaw is ever extended to handle FTI directly (for example, ingesting tax documents as RAG corpus), a dedicated ADR is required before that work begins.</w:t>
      </w:r>
    </w:p>
    <w:p>
      <w:r>
        <w:t xml:space="preserve"/>
      </w:r>
    </w:p>
    <w:p>
      <w:pPr>
        <w:pStyle w:val="Heading1"/>
      </w:pPr>
      <w:r>
        <w:rPr>
          <w:rFonts w:ascii="Arial" w:cs="Arial" w:eastAsia="Arial" w:hAnsi="Arial"/>
          <w:b/>
          <w:bCs/>
          <w:sz w:val="32"/>
          <w:szCs w:val="32"/>
        </w:rPr>
        <w:t xml:space="preserve">5.  Implementation Requirements</w:t>
      </w:r>
    </w:p>
    <w:p>
      <w:r>
        <w:t xml:space="preserve"/>
      </w:r>
    </w:p>
    <w:p>
      <w:pPr>
        <w:pStyle w:val="Heading2"/>
      </w:pPr>
      <w:r>
        <w:rPr>
          <w:rFonts w:ascii="Arial" w:cs="Arial" w:eastAsia="Arial" w:hAnsi="Arial"/>
          <w:b/>
          <w:bCs/>
          <w:sz w:val="28"/>
          <w:szCs w:val="28"/>
        </w:rPr>
        <w:t xml:space="preserve">5.1  Backup Destination (immediate)</w:t>
      </w:r>
    </w:p>
    <w:p>
      <w:r>
        <w:t xml:space="preserve"/>
      </w:r>
    </w:p>
    <w:p>
      <w:pPr>
        <w:spacing w:after="160"/>
      </w:pPr>
      <w:r>
        <w:rPr>
          <w:rFonts w:ascii="Arial" w:cs="Arial" w:eastAsia="Arial" w:hAnsi="Arial"/>
          <w:sz w:val="20"/>
          <w:szCs w:val="20"/>
        </w:rPr>
        <w:t xml:space="preserve">The Mac-Mini-Backups folder must be created before the next backup job runs. The ADR-019 pg_dump job must write exclusively to this folder. The folder path is:</w:t>
      </w:r>
    </w:p>
    <w:p>
      <w:pPr>
        <w:spacing w:after="160"/>
      </w:pPr>
      <w:r>
        <w:rPr>
          <w:rFonts w:ascii="Arial" w:cs="Arial" w:eastAsia="Arial" w:hAnsi="Arial"/>
          <w:sz w:val="20"/>
          <w:szCs w:val="20"/>
        </w:rPr>
        <w:t xml:space="preserve">~/Library/Mobile Documents/com~apple~CloudDocs/Mac-Mini-Backups/</w:t>
      </w:r>
    </w:p>
    <w:p>
      <w:pPr>
        <w:spacing w:after="160"/>
      </w:pPr>
      <w:r>
        <w:rPr>
          <w:rFonts w:ascii="Arial" w:cs="Arial" w:eastAsia="Arial" w:hAnsi="Arial"/>
          <w:sz w:val="20"/>
          <w:szCs w:val="20"/>
        </w:rPr>
        <w:t xml:space="preserve">This folder was created during Session 16 as the first implementation action under this ADR.</w:t>
      </w:r>
    </w:p>
    <w:p>
      <w:r>
        <w:t xml:space="preserve"/>
      </w:r>
    </w:p>
    <w:p>
      <w:pPr>
        <w:pStyle w:val="Heading2"/>
      </w:pPr>
      <w:r>
        <w:rPr>
          <w:rFonts w:ascii="Arial" w:cs="Arial" w:eastAsia="Arial" w:hAnsi="Arial"/>
          <w:b/>
          <w:bCs/>
          <w:sz w:val="28"/>
          <w:szCs w:val="28"/>
        </w:rPr>
        <w:t xml:space="preserve">5.2  DATA_BOUNDARIES.md (immediate)</w:t>
      </w:r>
    </w:p>
    <w:p>
      <w:r>
        <w:t xml:space="preserve"/>
      </w:r>
    </w:p>
    <w:p>
      <w:pPr>
        <w:spacing w:after="160"/>
      </w:pPr>
      <w:r>
        <w:rPr>
          <w:rFonts w:ascii="Arial" w:cs="Arial" w:eastAsia="Arial" w:hAnsi="Arial"/>
          <w:sz w:val="20"/>
          <w:szCs w:val="20"/>
        </w:rPr>
        <w:t xml:space="preserve">A plain-language reference file named DATA_BOUNDARIES.md must be created in ~/openclaw and committed to the repository. This file is the operational companion to this ADR. It states the boundary rules in plain language accessible without reading the full ADR. See Section 8 for content specification.</w:t>
      </w:r>
    </w:p>
    <w:p>
      <w:r>
        <w:t xml:space="preserve"/>
      </w:r>
    </w:p>
    <w:p>
      <w:pPr>
        <w:pStyle w:val="Heading2"/>
      </w:pPr>
      <w:r>
        <w:rPr>
          <w:rFonts w:ascii="Arial" w:cs="Arial" w:eastAsia="Arial" w:hAnsi="Arial"/>
          <w:b/>
          <w:bCs/>
          <w:sz w:val="28"/>
          <w:szCs w:val="28"/>
        </w:rPr>
        <w:t xml:space="preserve">5.3  Agent and tool development (ongoing)</w:t>
      </w:r>
    </w:p>
    <w:p>
      <w:r>
        <w:t xml:space="preserve"/>
      </w:r>
    </w:p>
    <w:p>
      <w:pPr>
        <w:spacing w:after="160"/>
      </w:pPr>
      <w:r>
        <w:rPr>
          <w:rFonts w:ascii="Arial" w:cs="Arial" w:eastAsia="Arial" w:hAnsi="Arial"/>
          <w:sz w:val="20"/>
          <w:szCs w:val="20"/>
        </w:rPr>
        <w:t xml:space="preserve">Any future agent tool that touches the filesystem must be reviewed against this ADR before implementation. The tool_registry entry for any filesystem tool must include the permitted_paths field documenting which Section 3.1 paths the tool may access. Tools that request access to prohibited paths must be rejected at the ADR review stage, not at runtime.</w:t>
      </w:r>
    </w:p>
    <w:p>
      <w:r>
        <w:t xml:space="preserve"/>
      </w:r>
    </w:p>
    <w:p>
      <w:pPr>
        <w:pStyle w:val="Heading2"/>
      </w:pPr>
      <w:r>
        <w:rPr>
          <w:rFonts w:ascii="Arial" w:cs="Arial" w:eastAsia="Arial" w:hAnsi="Arial"/>
          <w:b/>
          <w:bCs/>
          <w:sz w:val="28"/>
          <w:szCs w:val="28"/>
        </w:rPr>
        <w:t xml:space="preserve">5.4  Scraper network policy analogy</w:t>
      </w:r>
    </w:p>
    <w:p>
      <w:r>
        <w:t xml:space="preserve"/>
      </w:r>
    </w:p>
    <w:p>
      <w:pPr>
        <w:spacing w:after="160"/>
      </w:pPr>
      <w:r>
        <w:rPr>
          <w:rFonts w:ascii="Arial" w:cs="Arial" w:eastAsia="Arial" w:hAnsi="Arial"/>
          <w:sz w:val="20"/>
          <w:szCs w:val="20"/>
        </w:rPr>
        <w:t xml:space="preserve">The filesystem boundary defined in this ADR is the local-storage analogue of the network egress whitelist established in ADR-030 and ADR-033. Just as outbound network access requires an explicit whitelist entry, filesystem access outside ~/openclaw requires an explicit ADR amendment. Both are instances of the same least-privilege principle.</w:t>
      </w:r>
    </w:p>
    <w:p>
      <w:r>
        <w:t xml:space="preserve"/>
      </w:r>
    </w:p>
    <w:p>
      <w:pPr>
        <w:pStyle w:val="Heading1"/>
      </w:pPr>
      <w:r>
        <w:rPr>
          <w:rFonts w:ascii="Arial" w:cs="Arial" w:eastAsia="Arial" w:hAnsi="Arial"/>
          <w:b/>
          <w:bCs/>
          <w:sz w:val="32"/>
          <w:szCs w:val="32"/>
        </w:rPr>
        <w:t xml:space="preserve">6.  Path Addition Procedure</w:t>
      </w:r>
    </w:p>
    <w:p>
      <w:r>
        <w:t xml:space="preserve"/>
      </w:r>
    </w:p>
    <w:p>
      <w:pPr>
        <w:spacing w:after="160"/>
      </w:pPr>
      <w:r>
        <w:rPr>
          <w:rFonts w:ascii="Arial" w:cs="Arial" w:eastAsia="Arial" w:hAnsi="Arial"/>
          <w:sz w:val="20"/>
          <w:szCs w:val="20"/>
        </w:rPr>
        <w:t xml:space="preserve">When a new filesystem path is required by an OpenClaw process, the following procedure applies before any code is written:</w:t>
      </w:r>
    </w:p>
    <w:p>
      <w:r>
        <w:t xml:space="preserve"/>
      </w:r>
    </w:p>
    <w:p>
      <w:pPr>
        <w:pStyle w:val="ListParagraph"/>
        <w:numPr>
          <w:ilvl w:val="0"/>
          <w:numId w:val="2"/>
        </w:numPr>
      </w:pPr>
      <w:r>
        <w:rPr>
          <w:rFonts w:ascii="Arial" w:cs="Arial" w:eastAsia="Arial" w:hAnsi="Arial"/>
          <w:sz w:val="20"/>
          <w:szCs w:val="20"/>
        </w:rPr>
        <w:t xml:space="preserve">Identify the specific path, the access type required (read, write, or execute), and the business purpose.</w:t>
      </w:r>
    </w:p>
    <w:p>
      <w:pPr>
        <w:pStyle w:val="ListParagraph"/>
        <w:numPr>
          <w:ilvl w:val="0"/>
          <w:numId w:val="2"/>
        </w:numPr>
      </w:pPr>
      <w:r>
        <w:rPr>
          <w:rFonts w:ascii="Arial" w:cs="Arial" w:eastAsia="Arial" w:hAnsi="Arial"/>
          <w:sz w:val="20"/>
          <w:szCs w:val="20"/>
        </w:rPr>
        <w:t xml:space="preserve">Assess whether the path may contain personal, sensitive, or legally protected data.</w:t>
      </w:r>
    </w:p>
    <w:p>
      <w:pPr>
        <w:pStyle w:val="ListParagraph"/>
        <w:numPr>
          <w:ilvl w:val="0"/>
          <w:numId w:val="2"/>
        </w:numPr>
      </w:pPr>
      <w:r>
        <w:rPr>
          <w:rFonts w:ascii="Arial" w:cs="Arial" w:eastAsia="Arial" w:hAnsi="Arial"/>
          <w:sz w:val="20"/>
          <w:szCs w:val="20"/>
        </w:rPr>
        <w:t xml:space="preserve">If sensitive data may be present, document the mitigation (e.g., read-only access, no logging of directory contents, no LLM context injection of filenames).</w:t>
      </w:r>
    </w:p>
    <w:p>
      <w:pPr>
        <w:pStyle w:val="ListParagraph"/>
        <w:numPr>
          <w:ilvl w:val="0"/>
          <w:numId w:val="2"/>
        </w:numPr>
      </w:pPr>
      <w:r>
        <w:rPr>
          <w:rFonts w:ascii="Arial" w:cs="Arial" w:eastAsia="Arial" w:hAnsi="Arial"/>
          <w:sz w:val="20"/>
          <w:szCs w:val="20"/>
        </w:rPr>
        <w:t xml:space="preserve">Amend this ADR (Section 3.1) with the new path and access type, or create a new ADR if the scope warrants it.</w:t>
      </w:r>
    </w:p>
    <w:p>
      <w:pPr>
        <w:pStyle w:val="ListParagraph"/>
        <w:numPr>
          <w:ilvl w:val="0"/>
          <w:numId w:val="2"/>
        </w:numPr>
      </w:pPr>
      <w:r>
        <w:rPr>
          <w:rFonts w:ascii="Arial" w:cs="Arial" w:eastAsia="Arial" w:hAnsi="Arial"/>
          <w:sz w:val="20"/>
          <w:szCs w:val="20"/>
        </w:rPr>
        <w:t xml:space="preserve">Create a changelog entry before the first deployment touching the new path.</w:t>
      </w:r>
    </w:p>
    <w:p>
      <w:r>
        <w:t xml:space="preserve"/>
      </w:r>
    </w:p>
    <w:p>
      <w:pPr>
        <w:spacing w:after="160"/>
      </w:pPr>
      <w:r>
        <w:rPr>
          <w:rFonts w:ascii="Arial" w:cs="Arial" w:eastAsia="Arial" w:hAnsi="Arial"/>
          <w:sz w:val="20"/>
          <w:szCs w:val="20"/>
        </w:rPr>
        <w:t xml:space="preserve">This procedure does not apply to subdirectories of ~/openclaw, which is already fully permitted. It applies only to paths outside the designated working directory.</w:t>
      </w:r>
    </w:p>
    <w:p>
      <w:r>
        <w:t xml:space="preserve"/>
      </w:r>
    </w:p>
    <w:p>
      <w:pPr>
        <w:pStyle w:val="Heading1"/>
      </w:pPr>
      <w:r>
        <w:rPr>
          <w:rFonts w:ascii="Arial" w:cs="Arial" w:eastAsia="Arial" w:hAnsi="Arial"/>
          <w:b/>
          <w:bCs/>
          <w:sz w:val="32"/>
          <w:szCs w:val="32"/>
        </w:rPr>
        <w:t xml:space="preserve">7.  NIST 800-53 Alignment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800"/>
        <w:gridCol w:w="37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 After ADR-040</w:t>
            </w:r>
          </w:p>
        </w:tc>
        <w:tc>
          <w:tcPr>
            <w:tcW w:type="dxa" w:w="3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Mechanism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Enforcement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filesystem boundary enforces access control by policy. Prohibited paths documented.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Least Privilege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processes restricted to minimum required filesystem scope. Expansion requires ADR amendment.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in Shared Resources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Prohibiting agent access to directories containing other users’ or family members’ data.</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of Information at 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FTI and personal data at rest protected by access prohibition, not just encryption.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Management and 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policy prevents inadvertent ingestion of personal documents into agent knowledge stores.</w:t>
            </w:r>
          </w:p>
        </w:tc>
      </w:tr>
    </w:tbl>
    <w:p>
      <w:r>
        <w:t xml:space="preserve"/>
      </w:r>
    </w:p>
    <w:p>
      <w:pPr>
        <w:pStyle w:val="Heading1"/>
      </w:pPr>
      <w:r>
        <w:rPr>
          <w:rFonts w:ascii="Arial" w:cs="Arial" w:eastAsia="Arial" w:hAnsi="Arial"/>
          <w:b/>
          <w:bCs/>
          <w:sz w:val="32"/>
          <w:szCs w:val="32"/>
        </w:rPr>
        <w:t xml:space="preserve">8.  DATA_BOUNDARIES.md Content Specification</w:t>
      </w:r>
    </w:p>
    <w:p>
      <w:r>
        <w:t xml:space="preserve"/>
      </w:r>
    </w:p>
    <w:p>
      <w:pPr>
        <w:spacing w:after="160"/>
      </w:pPr>
      <w:r>
        <w:rPr>
          <w:rFonts w:ascii="Arial" w:cs="Arial" w:eastAsia="Arial" w:hAnsi="Arial"/>
          <w:sz w:val="20"/>
          <w:szCs w:val="20"/>
        </w:rPr>
        <w:t xml:space="preserve">The DATA_BOUNDARIES.md file committed to ~/openclaw must contain the following sections in plain language. The file is the first reference checked when any developer or agent session raises a filesystem access question.</w:t>
      </w:r>
    </w:p>
    <w:p>
      <w:r>
        <w:t xml:space="preserve"/>
      </w:r>
    </w:p>
    <w:p>
      <w:pPr>
        <w:pStyle w:val="ListParagraph"/>
        <w:numPr>
          <w:ilvl w:val="0"/>
          <w:numId w:val="2"/>
        </w:numPr>
      </w:pPr>
      <w:r>
        <w:rPr>
          <w:rFonts w:ascii="Arial" w:cs="Arial" w:eastAsia="Arial" w:hAnsi="Arial"/>
          <w:sz w:val="20"/>
          <w:szCs w:val="20"/>
        </w:rPr>
        <w:t xml:space="preserve">Section 1: What OpenClaw may touch — list the three permitted paths from Section 3.1 with one-line descriptions.</w:t>
      </w:r>
    </w:p>
    <w:p>
      <w:pPr>
        <w:pStyle w:val="ListParagraph"/>
        <w:numPr>
          <w:ilvl w:val="0"/>
          <w:numId w:val="2"/>
        </w:numPr>
      </w:pPr>
      <w:r>
        <w:rPr>
          <w:rFonts w:ascii="Arial" w:cs="Arial" w:eastAsia="Arial" w:hAnsi="Arial"/>
          <w:sz w:val="20"/>
          <w:szCs w:val="20"/>
        </w:rPr>
        <w:t xml:space="preserve">Section 2: What OpenClaw may never touch — list the prohibited paths with one-line explanations.</w:t>
      </w:r>
    </w:p>
    <w:p>
      <w:pPr>
        <w:pStyle w:val="ListParagraph"/>
        <w:numPr>
          <w:ilvl w:val="0"/>
          <w:numId w:val="2"/>
        </w:numPr>
      </w:pPr>
      <w:r>
        <w:rPr>
          <w:rFonts w:ascii="Arial" w:cs="Arial" w:eastAsia="Arial" w:hAnsi="Arial"/>
          <w:sz w:val="20"/>
          <w:szCs w:val="20"/>
        </w:rPr>
        <w:t xml:space="preserve">Section 3: How to add a new path — summarize the Section 6 procedure in three bullet points.</w:t>
      </w:r>
    </w:p>
    <w:p>
      <w:pPr>
        <w:pStyle w:val="ListParagraph"/>
        <w:numPr>
          <w:ilvl w:val="0"/>
          <w:numId w:val="2"/>
        </w:numPr>
      </w:pPr>
      <w:r>
        <w:rPr>
          <w:rFonts w:ascii="Arial" w:cs="Arial" w:eastAsia="Arial" w:hAnsi="Arial"/>
          <w:sz w:val="20"/>
          <w:szCs w:val="20"/>
        </w:rPr>
        <w:t xml:space="preserve">Section 4: Why this exists — one paragraph explaining the FTI context and the governing principle.</w:t>
      </w:r>
    </w:p>
    <w:p>
      <w:pPr>
        <w:pStyle w:val="ListParagraph"/>
        <w:numPr>
          <w:ilvl w:val="0"/>
          <w:numId w:val="2"/>
        </w:numPr>
      </w:pPr>
      <w:r>
        <w:rPr>
          <w:rFonts w:ascii="Arial" w:cs="Arial" w:eastAsia="Arial" w:hAnsi="Arial"/>
          <w:sz w:val="20"/>
          <w:szCs w:val="20"/>
        </w:rPr>
        <w:t xml:space="preserve">Section 5: ADR reference — ADR-040, date, status.</w:t>
      </w:r>
    </w:p>
    <w:p>
      <w:r>
        <w:t xml:space="preserve"/>
      </w:r>
    </w:p>
    <w:p>
      <w:pPr>
        <w:spacing w:after="160"/>
      </w:pPr>
      <w:r>
        <w:rPr>
          <w:rFonts w:ascii="Arial" w:cs="Arial" w:eastAsia="Arial" w:hAnsi="Arial"/>
          <w:sz w:val="20"/>
          <w:szCs w:val="20"/>
        </w:rPr>
        <w:t xml:space="preserve">The file must not contain FTI, personal data, or any content derived from the iCloud root directory listing.</w:t>
      </w:r>
    </w:p>
    <w:p>
      <w:r>
        <w:t xml:space="preserve"/>
      </w:r>
    </w:p>
    <w:p>
      <w:pPr>
        <w:pStyle w:val="Heading1"/>
      </w:pPr>
      <w:r>
        <w:rPr>
          <w:rFonts w:ascii="Arial" w:cs="Arial" w:eastAsia="Arial" w:hAnsi="Arial"/>
          <w:b/>
          <w:bCs/>
          <w:sz w:val="32"/>
          <w:szCs w:val="32"/>
        </w:rPr>
        <w:t xml:space="preserve">9.  ADR Cross-Reference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ADR</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ADR-019</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configuration. This ADR establishes Mac-Mini-Backups as the sole permitted iCloud write destination, complementing ADR-019’s backup job specification.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ADR-026</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sandboxes. Container filesystem mounts must respect the boundaries in Section 3. No volume mount may expose a prohibited path into a container.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ADR-030</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egress policy. This ADR is the filesystem analogue of ADR-030’s network whitelist. Same least-privilege principle applied to a different resource.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ADR-033</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layer and tool registry. Any skill or tool with filesystem access must declare permitted paths in tool_registry and be reviewed against this ADR.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ADR-039</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review. This ADR was triggered by a Session 16 observation during ADR-039 remediation work. It is an independent ADR, not a sub-decision of ADR-039.</w:t>
            </w:r>
          </w:p>
        </w:tc>
      </w:tr>
    </w:tbl>
    <w:p>
      <w:r>
        <w:t xml:space="preserve"/>
      </w:r>
    </w:p>
    <w:p>
      <w:r>
        <w:t xml:space="preserve"/>
      </w:r>
    </w:p>
    <w:p>
      <w:pPr>
        <w:spacing w:after="160"/>
      </w:pPr>
      <w:r>
        <w:rPr>
          <w:rFonts w:ascii="Arial" w:cs="Arial" w:eastAsia="Arial" w:hAnsi="Arial"/>
          <w:i/>
          <w:iCs/>
          <w:sz w:val="20"/>
          <w:szCs w:val="20"/>
        </w:rPr>
        <w:t xml:space="preserve">Sheldon Wheeler — OpenClaw Personal Stack</w:t>
      </w:r>
    </w:p>
    <w:p>
      <w:pPr>
        <w:spacing w:after="160"/>
      </w:pPr>
      <w:r>
        <w:rPr>
          <w:rFonts w:ascii="Arial" w:cs="Arial" w:eastAsia="Arial" w:hAnsi="Arial"/>
          <w:i/>
          <w:iCs/>
          <w:sz w:val="20"/>
          <w:szCs w:val="20"/>
        </w:rPr>
        <w:t xml:space="preserve">ADR-040 v1.2 — Drafted April 19, 2026 — Amended September 20, 2026 (ADR-045), September 29, 2026 (ADR-047 §9) and October 2, 2026 (operator decision, Entry #052) — Status DECIDED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2026-04-19T20:21:28.368Z</dcterms:created>
  <dcterms:modified xsi:type="dcterms:W3CDTF">2026-04-19T20:21:28.368Z</dcterms:modified>
</cp:coreProperties>
</file>

<file path=docProps/custom.xml><?xml version="1.0" encoding="utf-8"?>
<Properties xmlns="http://schemas.openxmlformats.org/officeDocument/2006/custom-properties" xmlns:vt="http://schemas.openxmlformats.org/officeDocument/2006/docPropsVTypes"/>
</file>