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Adds new images to the dataset by transforming copies of existing images.</w:t>
      </w:r>
    </w:p>
    <w:p>
      <w:pPr>
        <w:pStyle w:val="ListBullet3"/>
      </w:pPr>
      <w:r>
        <w:t>5.3.2   Image Pretrained CNN Featurizer</w:t>
      </w:r>
    </w:p>
    <w:p>
      <w:pPr>
        <w:pStyle w:val="ListBullet3"/>
      </w:pPr>
      <w:r>
        <w:t>5.3.3   Image Features Post Processor</w:t>
      </w:r>
    </w:p>
    <w:p>
      <w:pPr>
        <w:pStyle w:val="ListBullet3"/>
      </w:pPr>
      <w:r>
        <w:t>5.3.4   Logistic Regression with L1 or L2 penalty</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Accuracy</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Regularized Logistic Regression (L2)</w:t>
      </w:r>
      <w:r>
        <w:t xml:space="preserve">. </w:t>
      </w:r>
      <w:r>
        <w:t>This model was developed in a project created with v7bfbfa5a7eba80ba of DataRobot.</w:t>
      </w:r>
      <w:r>
        <w:t xml:space="preserve"> This model is denoted within DataRobot by the Project ID: </w:t>
      </w:r>
      <w:r>
        <w:t>66b5df500edb94ae93e6b679</w:t>
      </w:r>
      <w:r>
        <w:t xml:space="preserve"> and the Model ID: </w:t>
      </w:r>
      <w:r>
        <w:t>66b5efae7649fd31c5b59ae3</w:t>
      </w:r>
      <w:r>
        <w:t xml:space="preserve">. The project was created on </w:t>
      </w:r>
      <w:r>
        <w:t>2024-08-09 09:20:16</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Train-Time Image Augmentation</w:t>
      </w:r>
    </w:p>
    <w:p>
      <w:pPr>
        <w:pStyle w:val="ListBullet2"/>
      </w:pPr>
      <w:r>
        <w:t>Pretrained MobileNetV3-Small-Pruned Multi-Level Global Average Pooling Image Featurizer</w:t>
      </w:r>
    </w:p>
    <w:p>
      <w:pPr>
        <w:pStyle w:val="ListBullet2"/>
      </w:pPr>
      <w:r>
        <w:t>No Post Processing</w:t>
      </w:r>
    </w:p>
    <w:p>
      <w:pPr>
        <w:pStyle w:val="ListBullet2"/>
      </w:pPr>
      <w:r>
        <w:t>Regularized Logistic Regression (L2)</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1,570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0.3264</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0.3249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0.3011</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Train-Time Image Augmentation</w:t>
      </w:r>
    </w:p>
    <w:p>
      <w:pPr>
        <w:pStyle w:val="ListBullet2"/>
      </w:pPr>
      <w:r>
        <w:t>Pretrained MobileNetV3-Small-Pruned Multi-Level Global Average Pooling Image Featurizer</w:t>
      </w:r>
    </w:p>
    <w:p>
      <w:pPr>
        <w:pStyle w:val="ListBullet2"/>
      </w:pPr>
      <w:r>
        <w:t>No Post Processing</w:t>
      </w:r>
    </w:p>
    <w:p>
      <w:pPr>
        <w:pStyle w:val="ListBullet2"/>
      </w:pPr>
      <w:r>
        <w:t>Regularized Logistic Regression (L2)</w:t>
      </w:r>
    </w:p>
    <w:p>
      <w:pPr>
        <w:pStyle w:val="body_style__para"/>
      </w:pPr>
      <w:r>
        <w:t>The following subsections include details for each node of the modeling blueprint.</w:t>
      </w:r>
    </w:p>
    <w:p>
      <w:pPr>
        <w:pStyle w:val="H1_style__para"/>
      </w:pPr>
      <w:r>
        <w:t xml:space="preserve">5.3.1   </w:t>
      </w:r>
      <w:r>
        <w:t>Adds new images to the dataset by transforming copies of existing images.</w:t>
      </w:r>
    </w:p>
    <w:p>
      <w:pPr>
        <w:pStyle w:val="body_style__para"/>
      </w:pPr>
      <w:r>
        <w:t>This can boost predictions scores by helping to train a more generalizable model which has been exposed to more data. This technique is especially helpful for small datasets, where there is a higher risk of overfitting to the training data. As a tradeoff for seeing more data, this means that the models trained with augmentation will take longer. In addition, depending on the data set, some transformations can hurt prediction scores.</w:t>
      </w:r>
    </w:p>
    <w:p>
      <w:pPr>
        <w:pStyle w:val="body_style__para"/>
      </w:pPr>
      <w:r>
        <w:t>See “https://docs.datarobot.com/en/docs/modeling/special-workflows/visual-ai/tti-augment/index.html” documentation in DataRobot application for more information.</w:t>
      </w:r>
    </w:p>
    <w:p>
      <w:pPr>
        <w:pStyle w:val="H1_style__para"/>
      </w:pPr>
      <w:r>
        <w:t xml:space="preserve">5.3.2   </w:t>
      </w:r>
      <w:r>
        <w:t>Image Pretrained CNN Featurizer</w:t>
      </w:r>
    </w:p>
    <w:p>
      <w:pPr>
        <w:pStyle w:val="body_style__para"/>
      </w:pPr>
      <w:r>
        <w:t>IMGFEA converts images to numeric feature vectors using a pretrained convolutional neural network.</w:t>
      </w:r>
    </w:p>
    <w:p>
      <w:pPr>
        <w:pStyle w:val="body_style__para"/>
      </w:pPr>
      <w:r>
        <w:t>This method used here is called transfer learning, where a model developed for a task is reused as the starting point for a model on a second task. The method is particularly useful when used on datasets where the sample size is small and when there isn’t enough variation in the target dataset to fully represent the target environment. DataRobot’s technique extracts features from various levels of the convolutional neural network initialized with pretrained weights that include low level details, like edges and corners all the way to very high level details, like human faces and vehicles, that generalize well to a variety of different problems and user cases.</w:t>
      </w:r>
    </w:p>
    <w:p>
      <w:pPr>
        <w:pStyle w:val="body_style__para"/>
      </w:pPr>
      <w:r>
        <w:t>The feature vectors produced (one to four, based on the parameters use_low_level_features, use_medium_level_features, use_high_level_features, and use_highest_level_features of this task) represent extracted characteristics of the image at different levels of complexity. These feature vectors are then used downstream as input to a modeler.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Featurizer Pooling Type</w:t>
            </w:r>
          </w:p>
        </w:tc>
        <w:tc>
          <w:tcPr>
            <w:tcW w:type="dxa" w:w="2340"/>
            <w:tcBorders>
              <w:start w:sz="4" w:val="single"/>
              <w:top w:sz="4" w:val="single"/>
              <w:end w:sz="4" w:val="single"/>
              <w:bottom w:sz="4" w:val="single"/>
            </w:tcBorders>
          </w:tcPr>
          <w:p>
            <w:pPr>
              <w:pStyle w:val="table_body_style__para"/>
            </w:pPr>
            <w:r>
              <w:t>Type of summarizer to use to squash the multi dimensional CNN features applied on initial, intermediate, and top convolutional layers of the network. values: ['avg', 'gem', 'max', 'gem-max', 'avg-max']</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Pretrained model</w:t>
            </w:r>
          </w:p>
        </w:tc>
        <w:tc>
          <w:tcPr>
            <w:tcW w:type="dxa" w:w="2340"/>
            <w:tcBorders>
              <w:start w:sz="4" w:val="single"/>
              <w:top w:sz="4" w:val="single"/>
              <w:end w:sz="4" w:val="single"/>
              <w:bottom w:sz="4" w:val="single"/>
            </w:tcBorders>
          </w:tcPr>
          <w:p>
            <w:pPr>
              <w:pStyle w:val="table_body_style__para"/>
            </w:pPr>
            <w:r>
              <w:t>Pretrained model architecture.  DarkNet:This simple neural network consists of eight 3x3 convolutional blocks with batch normalization, Leaky ReLu activation, and pooling. The channel depth increases by a factor of two each block. The network has nine layers in total, including a final dense layer. https://pjreddie.com/darknet/  DarkNet-Pruned:This simple neural network consists of eight 3x3 convolutional blocks with batch normalization, Leaky ReLu activation, and pooling. The channel depth increases by a factor of two each block. The network has nine layers in total, including a final dense layer.. https://pjreddie.com/darknet/ This is the same as DarkNet but with BatchNormalization layers removed after the Conv2D operation.  EfficientNet-b0:EfficientNet-b0 is the fastest network in the EfficientNet network family, which were developed in 2019 using a “multi-objective neural architecture search that optimizes both accuracy and FLOPS.” The b0 model notably outperforms ResNet-50 top-1 and top-5 accuracy on ImageNet while having ~5x fewer parameters (ResNet has 26M while b0 has 5.3M). The main building of the EfficientNet models is the mobile inverted residual bottleneck (MBConv) convolutional block &amp;mdash; which serves as a bottleneck, similar to the fire module in SqueezeNet, to constrain the number of parameters, but is “inverted” because the shape is opposite (in the mobile inverted residual bottleneck, the layer order is expand then squeeze). https://arxiv.org/abs/1905.11946  EfficientNetV2-S-Pruned:EfficientNetV2-S-Pruned is the latest Neural Network part of EfficientNets family. Combining all previous insights from EfficientNetV1 models (2019), and applying newly found Fused-MBConv approach by Google Neural Architecture Search: 1. Replaces “DepthwiseConv2D 3x3 followed by Conv2D 1x1” with “Conv2D 3x3” (operation is called Fused-MBConv). 2. Improves training procedures. Models are now pre-trained with over 13M+ images from 21k+ classes. In addition, DataRobot applies a layer-reducing “pruning operation”, where Conv2D+BatchNorm can be merged into a single linear transformation, keeping only the Conv2D layer. This reduces the total number of layers by 110, while preserving the same accuracy. See “EfficientNetV2: Smaller Models and Faster Training” (https://arxiv.org/pdf/2104.00298) for more information. https://arxiv.org/pdf/2104.00298  EfficientNet-b0-Pruned:The pruned architecture of EfficientNet-b0 version, meaning layer reduction. Conv2D+BatchNorm and DepthWise2D+BatchNorm can be merged into a single linear transformation, keeping only Conv2D/DepthWise and adding the value of BatchNorm as bias to the convolution. This results in an architecture with ~50 less layers and a significantly faster inference stage.  EfficientNet-b4:The neural network in DataRobot likely to be the most accurate for a given dataset. The main goal in developing the EfficientNet family of models is to create a simple way to “scale up” the size of a model to obtain more accuracy at the cost of more computation. The implementation of the b4 model scales up (from Efficient-b0) the width of the network (number of channels in each convolution) by 1.4, and the depth of the network (the number of convolutional blocks) by 1.8, providing a more accurate and slower model than b0 but with results comparable to ResNext-101 or PolyNet. https://arxiv.org/abs/1905.11946  EfficientNet-b4-Pruned:The pruned architecture of EfficientNet-b4 version. Conv2D+BatchNorm and DepthWise2D+BatchNorm can be merged into a single linear transformation, keeping only Conv2D/DepthWise and adding the value of BatchNorm as bias to the convolution. This results in an architecture with ~100 less layers and a significantly faster inference stage.  MobileNetV3-Small-Pruned:Mobilenet V3 is the latest incarnation of the MobileNet family of neural networks, which are specially designed for mobile phone CPUs and other low-resource devices. It comes in two variants: MobileNet3-Large and MobileNet3-Small. MobileNetV3-Large targets high resource usage, whereas MobileNet3-Small is for low resource usage. MobileNetV3-Small is 6.6% more accurate the previous MobileNetV2 network with almost identical or better latency. In addition to these lightweight blocks and operations, pruning is applied for even faster feature extraction. This pruned version keeps the same architecture but with signigicantly lower number of layers ( ~50 ). Conv2D + BatchNormalization and Depthwise2D + BatchNormalization are merged into single Conv2D layer. “Searching for MobileNetV3” https://arxiv.org/abs/1905.02244  PreResNet10:PreResNet10 is based on ResNet, except within each residual block the batch norm and ReLu activation happen _before_ rather than _after_ the convolutional layer. This implementation of the PreResNet architecture has four PreRes blocks with two convolutional blocks each, which yield 10 total layers, including an input convolutional layer and output dense layer. According to the paper (p.14), the model’s computational complexity scales linearly with the depth of the network, so this model is about 5x faster than ResNet50. However, because the richness of the features generated by the featurizer can affect the fitting time of downstream modelers like XGB with Early Stopping, the time taken to train a model using a deeper featurizer like ResNet50 could be even more than 5x. https://arxiv.org/abs/1603.05027  ResNet50:This classic neural network is based on residual blocks containing skip-ahead layers, which allow for very deep networks that still train effectively. In each residual block, the inputs to the block are run through a 3x3 convolution, batch norm, and ReLu activation - twice. Then that result is added to the inputs to the block, which effectively turns that result into a residual of the layer. This implementation of ResNet has a total of 50 layers, including an input convolutional layer, 48 residual blocks, and a final dense layer. https://arxiv.org/abs/1512.03385  ResNet50-Pruned:This classic neural network is based on residual blocks containing skip-ahead layers, which allow for very deep networks that still train effectively. In each residual block, the inputs to the block are run through a 3x3 convolution, batch norm, and ReLu activation - twice. Then that result is added to the inputs to the block, which effectively turns that result into a residual of the layer. This implementation of ResNet has a total of 50 layers, including an input convolutional layer, 48 residual blocks, and a final dense layer. The only difference between ResNet50-Pruned is that all BatchNormalization layers after Conv2D operation are removed, resulting in a network with ~50 less layers compared to original architecture. This makes it way faster for both CPU and GPU inference. https://arxiv.org/abs/1512.03385  SqueezeNet:The fastest neural network in DataRobot&amp;mdash;this network is designed to achieve the speed of AlexNet with 50x fewer parameters, allowing for faster training, prediction , and storage size. It is based around the concept of fire modules, consisting of a combination of “squeeze” layers followed by “expand” layers, which aim to dramatically reduce the number of parameters used while preserving relatively high accuracy. This implementation of SqueezNet v1.1 has an input convolutional layer followed by eight fire modules of three convolutions each, leading to a total of 25 total layers. Original paper: https://arxiv.org/abs/1602.07360 Explanation of the differences introduced in v1.1: https://github.com/forresti/SqueezeNet/tree/master/SqueezeNet_v1.1  Xception:This neural network is an improvement in accuracy over the popular Inception V3 network , which has comparable speed to ResNet-50 but with better accuracy on some datasets. The core idea of this network is that it saves on parameters by learning spatial correlations separately from cross-channel correlations. The core building block of this network is the depthwise separable convolution (a depthwise convolution + pointwise convolution) with residual layers added (similar to PreResNet-10). This building block aims to “decouple” the learning happening across the spatial dimensions (height and width) with the learning happening across the channel dimensions (depth), so that they are handled in separate parameters where interaction can be learned from other parameters downstream in the network. This network has a total of 36 convolutional layers, including has 11 convolutional layers in the “entry flow” where the width and height are reduced and the depth increases, and 24 convolutional layers where the size remains constant. https://arxiv.org/abs/1610.02357   Below is an estimate of the architectures grouped into “speed classes”. Non-Pruned Versions: 1st (Fastest): SqueezeNet, PreResNet-10, DarkNet 2nd: EfficientNet-b0 3rd: ResNet50 4th: ResNet50 5th: Xception 6th: (Slowest): EfficientNet-b4 Pruned Versions: 1st  (Fastest): MobileneNetV3-Small-Pruned 2nd  DarkNet-Pruned 3rd: EfficientNet-b0-Pruned 4th: EfficientNet-B4-Pruned &amp; EfficientNetV2-S-Pruned 5th: (Slowest) ResNet50-Pruned We recommend using pruned version when available. Although ranking these neural network architectures on accuracy is difficult to do across all possible datasets (and input feature datatypes), note that speed is loosely inversely correlated to the accuracy. However, there are plenty of examples of datasets in which a faster model may be more accurate (i.e. squeezenet sometimes being more accurate than PreResNet, or EfficientNet-b0 often being more accurate than ResNet-50). It’s also worth noting that advanced tuning of combinations of hyperparameters (including neural network architectures) can yield unexpected interactions that can boost accuracy, as deep learning hyperparameter tuning is still an active area of research that develops as new research and new neural network architectures are published. For extra accuracy, use the EfficientNetV2-S-Pruned model, as it is the latest incarnation of DL research for Computer Vision from Google AI. (2021) values: [ 'darknet', 'darknet-pruned', 'efficientnet-b0', 'efficientnet-b0-pruned, 'efficientnet-b4', 'efficientnet-b4-pruned', 'efficientnetv2-s-pruned', 'mobilenetv3-small-pruned', 'preresnet10', 'resnet50', 'resnet50-pruned, 'squeezenet', 'xception', ]</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automated_feature_reduction:</w:t>
            </w:r>
          </w:p>
        </w:tc>
        <w:tc>
          <w:tcPr>
            <w:tcW w:type="dxa" w:w="2340"/>
            <w:tcBorders>
              <w:start w:sz="4" w:val="single"/>
              <w:top w:sz="4" w:val="single"/>
              <w:end w:sz="4" w:val="single"/>
              <w:bottom w:sz="4" w:val="single"/>
            </w:tcBorders>
          </w:tcPr>
          <w:p>
            <w:pPr>
              <w:pStyle w:val="table_body_style__para"/>
            </w:pPr>
            <w:r>
              <w:t>Decides whether or not to use ACE scores for feature reduction by removing the features that have very low ACE scores. values: ['True', 'False']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batch_size:</w:t>
            </w:r>
          </w:p>
        </w:tc>
        <w:tc>
          <w:tcPr>
            <w:tcW w:type="dxa" w:w="2340"/>
            <w:tcBorders>
              <w:start w:sz="4" w:val="single"/>
              <w:top w:sz="4" w:val="single"/>
              <w:end w:sz="4" w:val="single"/>
              <w:bottom w:sz="4" w:val="single"/>
            </w:tcBorders>
          </w:tcPr>
          <w:p>
            <w:pPr>
              <w:pStyle w:val="table_body_style__para"/>
            </w:pPr>
            <w:r>
              <w:t>Number of images that will be featurized in a single batch. Larger values will lead to faster training/prediction times but will also increase resource consumption. Also, due to innate specifics of TensorFlow, any value larger than 1 may lead to instability of featurization results around the 1e-6 - 1e-7, which for some models can cause a prediction validation error. In those cases, it is recommended to retrain with batch_size=1. values: [1, 4]</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metric_ace:</w:t>
            </w:r>
          </w:p>
        </w:tc>
        <w:tc>
          <w:tcPr>
            <w:tcW w:type="dxa" w:w="2340"/>
            <w:tcBorders>
              <w:start w:sz="4" w:val="single"/>
              <w:top w:sz="4" w:val="single"/>
              <w:end w:sz="4" w:val="single"/>
              <w:bottom w:sz="4" w:val="single"/>
            </w:tcBorders>
          </w:tcPr>
          <w:p>
            <w:pPr>
              <w:pStyle w:val="table_body_style__para"/>
            </w:pPr>
            <w:r>
              <w:t>The type of metric to be used to compute univariate feature importance ACE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use_high_level_features</w:t>
            </w:r>
          </w:p>
        </w:tc>
        <w:tc>
          <w:tcPr>
            <w:tcW w:type="dxa" w:w="2340"/>
            <w:tcBorders>
              <w:start w:sz="4" w:val="single"/>
              <w:top w:sz="4" w:val="single"/>
              <w:end w:sz="4" w:val="single"/>
              <w:bottom w:sz="4" w:val="single"/>
            </w:tcBorders>
          </w:tcPr>
          <w:p>
            <w:pPr>
              <w:pStyle w:val="table_body_style__para"/>
            </w:pPr>
            <w:r>
              <w:t>Extracts features from one of the last convolution layers. This layer provides high level features that are more complex than low or medium level features, and typically combines patterns from various low and medium level features to form complex objects that entirely depend on the architecture chosen. Note that this feature level might have different meanings for different architectures&amp;mdash;for shallow networksm this layer might still produce features that are considered by humans as low level features. This generally works for classification problems. values: [True, False]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use_highest_level_features</w:t>
            </w:r>
          </w:p>
        </w:tc>
        <w:tc>
          <w:tcPr>
            <w:tcW w:type="dxa" w:w="2340"/>
            <w:tcBorders>
              <w:start w:sz="4" w:val="single"/>
              <w:top w:sz="4" w:val="single"/>
              <w:end w:sz="4" w:val="single"/>
              <w:bottom w:sz="4" w:val="single"/>
            </w:tcBorders>
          </w:tcPr>
          <w:p>
            <w:pPr>
              <w:pStyle w:val="table_body_style__para"/>
            </w:pPr>
            <w:r>
              <w:t>Extracts features from the final hidden layer. This feature works well if the target problem contains “ordinary” images, such as animals, or vehicles, or foods, or plants. values: [True, False]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use_low_level_features</w:t>
            </w:r>
          </w:p>
        </w:tc>
        <w:tc>
          <w:tcPr>
            <w:tcW w:type="dxa" w:w="2340"/>
            <w:tcBorders>
              <w:start w:sz="4" w:val="single"/>
              <w:top w:sz="4" w:val="single"/>
              <w:end w:sz="4" w:val="single"/>
              <w:bottom w:sz="4" w:val="single"/>
            </w:tcBorders>
          </w:tcPr>
          <w:p>
            <w:pPr>
              <w:pStyle w:val="table_body_style__para"/>
            </w:pPr>
            <w:r>
              <w:t>Extracts features from one of the initial layer convolution layers. This layer provides low level visual features and will benefit problems that is vastly different from “ordinary” image datasets. values: [True, False]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use_medium_level_features</w:t>
            </w:r>
          </w:p>
        </w:tc>
        <w:tc>
          <w:tcPr>
            <w:tcW w:type="dxa" w:w="2340"/>
            <w:tcBorders>
              <w:start w:sz="4" w:val="single"/>
              <w:top w:sz="4" w:val="single"/>
              <w:end w:sz="4" w:val="single"/>
              <w:bottom w:sz="4" w:val="single"/>
            </w:tcBorders>
          </w:tcPr>
          <w:p>
            <w:pPr>
              <w:pStyle w:val="table_body_style__para"/>
            </w:pPr>
            <w:r>
              <w:t>Extracts features from one of the intermediate layer convolution layers. This layer provides medium level visual features that are more complex than low level features, and typically combines patterns from different levels of low level features. values: [True, False]</w:t>
            </w:r>
          </w:p>
        </w:tc>
        <w:tc>
          <w:tcPr>
            <w:tcW w:type="dxa" w:w="2340"/>
            <w:tcBorders>
              <w:start w:sz="4" w:val="single"/>
              <w:top w:sz="4" w:val="single"/>
              <w:end w:sz="4" w:val="single"/>
              <w:bottom w:sz="4" w:val="single"/>
            </w:tcBorders>
          </w:tcPr>
          <w:p>
            <w:pPr>
              <w:pStyle w:val="table_body_style__para"/>
            </w:pPr>
            <w:r>
              <w:t>True</w:t>
            </w:r>
          </w:p>
        </w:tc>
      </w:tr>
    </w:tbl>
    <w:p>
      <w:pPr>
        <w:pStyle w:val="H1_style__para"/>
      </w:pPr>
      <w:r>
        <w:t xml:space="preserve">5.3.3   </w:t>
      </w:r>
      <w:r>
        <w:t>Image Features Post Processor</w:t>
      </w:r>
    </w:p>
    <w:p>
      <w:pPr>
        <w:pStyle w:val="body_style__para"/>
      </w:pPr>
      <w:r>
        <w:t>Handles all the post processing in one task specifically for image based features from pretrained CNN networks.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pca_whitening:</w:t>
            </w:r>
          </w:p>
        </w:tc>
        <w:tc>
          <w:tcPr>
            <w:tcW w:type="dxa" w:w="2340"/>
            <w:tcBorders>
              <w:start w:sz="4" w:val="single"/>
              <w:top w:sz="4" w:val="single"/>
              <w:end w:sz="4" w:val="single"/>
              <w:bottom w:sz="4" w:val="single"/>
            </w:tcBorders>
          </w:tcPr>
          <w:p>
            <w:pPr>
              <w:pStyle w:val="table_body_style__para"/>
            </w:pPr>
            <w:r>
              <w:t>the type of pca whitening to use along with its input initialization type values: [`pca_whitening`, `l2_norm_pca_whitening`, `l1_norm_pca_whitening`,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scaling_method:</w:t>
            </w:r>
          </w:p>
        </w:tc>
        <w:tc>
          <w:tcPr>
            <w:tcW w:type="dxa" w:w="2340"/>
            <w:tcBorders>
              <w:start w:sz="4" w:val="single"/>
              <w:top w:sz="4" w:val="single"/>
              <w:end w:sz="4" w:val="single"/>
              <w:bottom w:sz="4" w:val="single"/>
            </w:tcBorders>
          </w:tcPr>
          <w:p>
            <w:pPr>
              <w:pStyle w:val="table_body_style__para"/>
            </w:pPr>
            <w:r>
              <w:t>the scaling method to use before feeding it to further tasks values: [`Standardization`, `Robust_Standardization`, `L1_Normalization`, `L2_Normalization`, `None`]</w:t>
            </w:r>
          </w:p>
        </w:tc>
        <w:tc>
          <w:tcPr>
            <w:tcW w:type="dxa" w:w="2340"/>
            <w:tcBorders>
              <w:start w:sz="4" w:val="single"/>
              <w:top w:sz="4" w:val="single"/>
              <w:end w:sz="4" w:val="single"/>
              <w:bottom w:sz="4" w:val="single"/>
            </w:tcBorders>
          </w:tcPr>
          <w:p>
            <w:pPr>
              <w:pStyle w:val="table_body_style__para"/>
            </w:pPr>
            <w:r>
              <w:t>None</w:t>
            </w:r>
          </w:p>
        </w:tc>
      </w:tr>
    </w:tbl>
    <w:p>
      <w:pPr>
        <w:pStyle w:val="H1_style__para"/>
      </w:pPr>
      <w:r>
        <w:t xml:space="preserve">5.3.4   </w:t>
      </w:r>
      <w:r>
        <w:t>Logistic Regression with L1 or L2 penalty</w:t>
      </w:r>
    </w:p>
    <w:p>
      <w:pPr>
        <w:pStyle w:val="body_style__para"/>
      </w:pPr>
      <w:r>
        <w:t>Logistic Regression (aka logit, MaxEnt) classifier.</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classification probabilities without the need for post-processing.</w:t>
      </w:r>
    </w:p>
    <w:p>
      <w:pPr>
        <w:pStyle w:val="body_style__para"/>
      </w:pPr>
      <w:r>
        <w:t>This class implements regularized logistic regression using the liblinear library, newton-cg and lbfgs solvers. It can handle both dense and sparse input. Use C-ordered arrays or CSR matrices containing 64-bit floats for optimal performance; any other input format will be converted (and copied).</w:t>
      </w:r>
    </w:p>
    <w:p>
      <w:pPr>
        <w:pStyle w:val="body_style__para"/>
      </w:pPr>
      <w:r>
        <w:t>The newton-cg and lbfgs solvers support only L2 regularization with primal formulation. The liblinear solver supports both L1 and L2 regularization, with a dual formulation only for the L2 penalty.</w:t>
      </w:r>
    </w:p>
    <w:p>
      <w:pPr>
        <w:pStyle w:val="body_style__para"/>
      </w:pPr>
      <w:r>
        <w:t>Based on scikit-learn estimator sklearn.linear_model.LogisticRegression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w:t>
            </w:r>
          </w:p>
        </w:tc>
        <w:tc>
          <w:tcPr>
            <w:tcW w:type="dxa" w:w="2340"/>
            <w:tcBorders>
              <w:start w:sz="4" w:val="single"/>
              <w:top w:sz="4" w:val="single"/>
              <w:end w:sz="4" w:val="single"/>
              <w:bottom w:sz="4" w:val="single"/>
            </w:tcBorders>
          </w:tcPr>
          <w:p>
            <w:pPr>
              <w:pStyle w:val="table_body_style__para"/>
            </w:pPr>
            <w:r>
              <w:t>Inverse of regularization strength; must be a positive float. Like in support vector machines, smaller values specify stronger regularization. ‘auto’: grid of 50 numbers spaced evenly on a log10 scale from: If penalty is set to ‘l1’ then 1.0 to 1.0e+04 * the lowest bound for C otherwise 1.0e-02 to 1.0e+02 values: {'floatgrid':[1e-10,1e10],'select':['auto']}</w:t>
            </w:r>
          </w:p>
        </w:tc>
        <w:tc>
          <w:tcPr>
            <w:tcW w:type="dxa" w:w="2340"/>
            <w:tcBorders>
              <w:start w:sz="4" w:val="single"/>
              <w:top w:sz="4" w:val="single"/>
              <w:end w:sz="4" w:val="single"/>
              <w:bottom w:sz="4" w:val="single"/>
            </w:tcBorders>
          </w:tcPr>
          <w:p>
            <w:pPr>
              <w:pStyle w:val="table_body_style__para"/>
            </w:pPr>
            <w:r>
              <w:t>0.03556480306223128</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class_weight</w:t>
            </w:r>
          </w:p>
        </w:tc>
        <w:tc>
          <w:tcPr>
            <w:tcW w:type="dxa" w:w="2340"/>
            <w:tcBorders>
              <w:start w:sz="4" w:val="single"/>
              <w:top w:sz="4" w:val="single"/>
              <w:end w:sz="4" w:val="single"/>
              <w:bottom w:sz="4" w:val="single"/>
            </w:tcBorders>
          </w:tcPr>
          <w:p>
            <w:pPr>
              <w:pStyle w:val="table_body_style__para"/>
            </w:pPr>
            <w:r>
              <w:t>Over-/undersamples the samples of each class according to the given weights. If not given, all classes are supposed to have weight one. The ‘auto’ mode selects weights inversely proportional to class frequencies in the training set. values: ['auto']</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dual</w:t>
            </w:r>
          </w:p>
        </w:tc>
        <w:tc>
          <w:tcPr>
            <w:tcW w:type="dxa" w:w="2340"/>
            <w:tcBorders>
              <w:start w:sz="4" w:val="single"/>
              <w:top w:sz="4" w:val="single"/>
              <w:end w:sz="4" w:val="single"/>
              <w:bottom w:sz="4" w:val="single"/>
            </w:tcBorders>
          </w:tcPr>
          <w:p>
            <w:pPr>
              <w:pStyle w:val="table_body_style__para"/>
            </w:pPr>
            <w:r>
              <w:t>Dual or primal formulation. Dual formulation is only implemented for l2 penalty with liblinear solver. Prefer dual=False when n_samples &gt; n_features.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Specifies if a constant (a.k.a. bias or intercept) should be added the decision function. values': [False,True]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intercept_scaling</w:t>
            </w:r>
          </w:p>
        </w:tc>
        <w:tc>
          <w:tcPr>
            <w:tcW w:type="dxa" w:w="2340"/>
            <w:tcBorders>
              <w:start w:sz="4" w:val="single"/>
              <w:top w:sz="4" w:val="single"/>
              <w:end w:sz="4" w:val="single"/>
              <w:bottom w:sz="4" w:val="single"/>
            </w:tcBorders>
          </w:tcPr>
          <w:p>
            <w:pPr>
              <w:pStyle w:val="table_body_style__para"/>
            </w:pPr>
            <w:r>
              <w:t>Useful only if solver is liblinear. when self.fit_intercept is True, instance vector x becomes [x, self.intercept_scaling], i.e. a “synthetic” feature with constant value equals to intercept_scaling is appended to the instance vector. The intercept becomes intercept_scaling * synthetic feature weight Note! the synthetic feature weight is subject to l1/l2 regularization as all other features. To lessen the effect of regularization on synthetic feature weight (and therefore on the intercept) intercept_scaling has to be increased. values: [1e-10,1e10]</w:t>
            </w:r>
          </w:p>
        </w:tc>
        <w:tc>
          <w:tcPr>
            <w:tcW w:type="dxa" w:w="2340"/>
            <w:tcBorders>
              <w:start w:sz="4" w:val="single"/>
              <w:top w:sz="4" w:val="single"/>
              <w:end w:sz="4" w:val="single"/>
              <w:bottom w:sz="4" w:val="single"/>
            </w:tcBorders>
          </w:tcPr>
          <w:p>
            <w:pPr>
              <w:pStyle w:val="table_body_style__para"/>
            </w:pPr>
            <w:r>
              <w:t>1.00001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penalty</w:t>
            </w:r>
          </w:p>
        </w:tc>
        <w:tc>
          <w:tcPr>
            <w:tcW w:type="dxa" w:w="2340"/>
            <w:tcBorders>
              <w:start w:sz="4" w:val="single"/>
              <w:top w:sz="4" w:val="single"/>
              <w:end w:sz="4" w:val="single"/>
              <w:bottom w:sz="4" w:val="single"/>
            </w:tcBorders>
          </w:tcPr>
          <w:p>
            <w:pPr>
              <w:pStyle w:val="table_body_style__para"/>
            </w:pPr>
            <w:r>
              <w:t>Used to specify the norm used in the penalization. The newton-cg and lbfgs solvers support only l2 penalties. values: ['l1','l2']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Tolerance for stopping criteria. values':[1e-15,1]</w:t>
            </w:r>
          </w:p>
        </w:tc>
        <w:tc>
          <w:tcPr>
            <w:tcW w:type="dxa" w:w="2340"/>
            <w:tcBorders>
              <w:start w:sz="4" w:val="single"/>
              <w:top w:sz="4" w:val="single"/>
              <w:end w:sz="4" w:val="single"/>
              <w:bottom w:sz="4" w:val="single"/>
            </w:tcBorders>
          </w:tcPr>
          <w:p>
            <w:pPr>
              <w:pStyle w:val="table_body_style__para"/>
            </w:pPr>
            <w:r>
              <w:t>None</w:t>
            </w:r>
          </w:p>
        </w:tc>
      </w:tr>
    </w:tbl>
    <w:p>
      <w:pPr>
        <w:pStyle w:val="subtitle_style__para"/>
      </w:pPr>
      <w:r>
        <w:t xml:space="preserve">5.4   </w:t>
      </w:r>
      <w:r>
        <w:t>Literature Review and References</w:t>
      </w:r>
    </w:p>
    <w:p>
      <w:pPr>
        <w:pStyle w:val="ListBullet"/>
      </w:pPr>
      <w:r>
        <w:t>Pan, S. J., and Yang, Q. “A Survey on Transfer Learning” Knowledge and Data Engineering, IEEE Transactionson 22 (10): 1345-1359.</w:t>
      </w:r>
      <w:r>
        <w:t xml:space="preserve"> </w:t>
      </w:r>
      <w:r>
        <w:t>https://www.cse.ust.hk/~qyang/Docs/2009/tkde_transfer_learning.pdf</w:t>
      </w:r>
    </w:p>
    <w:p>
      <w:pPr>
        <w:pStyle w:val="ListBullet"/>
      </w:pPr>
      <w:r>
        <w:t>LIBLINEAR – A Library for Large Linear Classification</w:t>
      </w:r>
      <w:r>
        <w:t xml:space="preserve"> </w:t>
      </w:r>
      <w:r>
        <w:t>http://www.csie.ntu.edu.tw/~cjlin/liblinear</w:t>
      </w:r>
    </w:p>
    <w:p>
      <w:pPr>
        <w:pStyle w:val="ListBullet"/>
      </w:pPr>
      <w:r>
        <w:t>Hsiang-Fu Yu, Fang-Lan Huang, Chih-Jen Lin (2011). Dual coordinate descent methods for logistic regression and maximum entropy models. Machine Learning 85(1-2):41-75.</w:t>
      </w:r>
      <w:r>
        <w:t xml:space="preserve"> </w:t>
      </w:r>
      <w:r>
        <w:t>http://www.csie.ntu.edu.tw/~cjlin/papers/maxent_dual.pdf</w:t>
      </w:r>
    </w:p>
    <w:p>
      <w:pPr>
        <w:pStyle w:val="ListBullet"/>
      </w:pPr>
      <w:r>
        <w:t>Hosmer Jr, David W., and Stanley Lemeshow. Applied logistic regression. John Wiley &amp; Sons, 2004.</w:t>
      </w:r>
    </w:p>
    <w:p>
      <w:pPr>
        <w:pStyle w:val="ListBullet"/>
      </w:pPr>
      <w:r>
        <w:t>Harrell, Frank E. “Regression modeling strategies: with applications to linear models, logistic regression, and survival analysis.” Springer Science &amp; Business Media, 2013.</w:t>
      </w:r>
      <w:r>
        <w:t xml:space="preserve"> </w:t>
      </w:r>
      <w:r>
        <w:t>http://biostat.mc.vanderbilt.edu/tmp/course.pdf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0.3961</w:t>
            </w:r>
          </w:p>
        </w:tc>
        <w:tc>
          <w:tcPr>
            <w:tcW w:type="dxa" w:w="1872"/>
            <w:tcBorders>
              <w:start w:sz="4" w:val="single"/>
              <w:top w:sz="4" w:val="single"/>
              <w:end w:sz="4" w:val="single"/>
              <w:bottom w:sz="4" w:val="single"/>
            </w:tcBorders>
          </w:tcPr>
          <w:p>
            <w:pPr>
              <w:pStyle w:val="table_body_style__para"/>
            </w:pPr>
            <w:r>
              <w:t>0.4507</w:t>
            </w:r>
          </w:p>
        </w:tc>
        <w:tc>
          <w:tcPr>
            <w:tcW w:type="dxa" w:w="1872"/>
            <w:tcBorders>
              <w:start w:sz="4" w:val="single"/>
              <w:top w:sz="4" w:val="single"/>
              <w:end w:sz="4" w:val="single"/>
              <w:bottom w:sz="4" w:val="single"/>
            </w:tcBorders>
          </w:tcPr>
          <w:p>
            <w:pPr>
              <w:pStyle w:val="table_body_style__para"/>
            </w:pPr>
            <w:r>
              <w:t>0.5989</w:t>
            </w:r>
          </w:p>
        </w:tc>
        <w:tc>
          <w:tcPr>
            <w:tcW w:type="dxa" w:w="1872"/>
            <w:tcBorders>
              <w:start w:sz="4" w:val="single"/>
              <w:top w:sz="4" w:val="single"/>
              <w:end w:sz="4" w:val="single"/>
              <w:bottom w:sz="4" w:val="single"/>
            </w:tcBorders>
          </w:tcPr>
          <w:p>
            <w:pPr>
              <w:pStyle w:val="table_body_style__para"/>
            </w:pPr>
            <w:r>
              <w:t>71.9746</w:t>
            </w:r>
          </w:p>
        </w:tc>
      </w:tr>
      <w:tr>
        <w:tc>
          <w:tcPr>
            <w:tcW w:type="dxa" w:w="1872"/>
            <w:tcBorders>
              <w:start w:sz="4" w:val="single"/>
              <w:top w:sz="4" w:val="single"/>
              <w:end w:sz="4" w:val="single"/>
              <w:bottom w:sz="4" w:val="single"/>
            </w:tcBorders>
          </w:tcPr>
          <w:p>
            <w:pPr>
              <w:pStyle w:val="table_body_style__para"/>
            </w:pPr>
            <w:r>
              <w:t>Baseline Image Classifier</w:t>
            </w:r>
          </w:p>
        </w:tc>
        <w:tc>
          <w:tcPr>
            <w:tcW w:type="dxa" w:w="1872"/>
            <w:tcBorders>
              <w:start w:sz="4" w:val="single"/>
              <w:top w:sz="4" w:val="single"/>
              <w:end w:sz="4" w:val="single"/>
              <w:bottom w:sz="4" w:val="single"/>
            </w:tcBorders>
          </w:tcPr>
          <w:p>
            <w:pPr>
              <w:pStyle w:val="table_body_style__para"/>
            </w:pPr>
            <w:r>
              <w:t>1.5759</w:t>
            </w:r>
          </w:p>
        </w:tc>
        <w:tc>
          <w:tcPr>
            <w:tcW w:type="dxa" w:w="1872"/>
            <w:tcBorders>
              <w:start w:sz="4" w:val="single"/>
              <w:top w:sz="4" w:val="single"/>
              <w:end w:sz="4" w:val="single"/>
              <w:bottom w:sz="4" w:val="single"/>
            </w:tcBorders>
          </w:tcPr>
          <w:p>
            <w:pPr>
              <w:pStyle w:val="table_body_style__para"/>
            </w:pPr>
            <w:r>
              <w:t>1.6307</w:t>
            </w:r>
          </w:p>
        </w:tc>
        <w:tc>
          <w:tcPr>
            <w:tcW w:type="dxa" w:w="1872"/>
            <w:tcBorders>
              <w:start w:sz="4" w:val="single"/>
              <w:top w:sz="4" w:val="single"/>
              <w:end w:sz="4" w:val="single"/>
              <w:bottom w:sz="4" w:val="single"/>
            </w:tcBorders>
          </w:tcPr>
          <w:p>
            <w:pPr>
              <w:pStyle w:val="table_body_style__para"/>
            </w:pPr>
            <w:r>
              <w:t>1.5527</w:t>
            </w:r>
          </w:p>
        </w:tc>
        <w:tc>
          <w:tcPr>
            <w:tcW w:type="dxa" w:w="1872"/>
            <w:tcBorders>
              <w:start w:sz="4" w:val="single"/>
              <w:top w:sz="4" w:val="single"/>
              <w:end w:sz="4" w:val="single"/>
              <w:bottom w:sz="4" w:val="single"/>
            </w:tcBorders>
          </w:tcPr>
          <w:p>
            <w:pPr>
              <w:pStyle w:val="table_body_style__para"/>
            </w:pPr>
            <w:r>
              <w:t>71.9746</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is a list of the final set of model feature/independent variables, as well as summary statistics for the </w:t>
      </w:r>
      <w:r>
        <w:t>Regularized Logistic Regression (L2)</w:t>
      </w:r>
      <w:r>
        <w:t xml:space="preserve"> model.</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ID</w:t>
            </w:r>
          </w:p>
        </w:tc>
        <w:tc>
          <w:tcPr>
            <w:tcW w:type="dxa" w:w="936"/>
            <w:tcBorders>
              <w:start w:sz="4" w:val="single"/>
              <w:top w:sz="4" w:val="single"/>
              <w:end w:sz="4" w:val="single"/>
              <w:bottom w:sz="4" w:val="single"/>
            </w:tcBorders>
          </w:tcPr>
          <w:p>
            <w:pPr>
              <w:pStyle w:val="table_body_style__para"/>
            </w:pPr>
            <w:r>
              <w:t>Image</w:t>
            </w:r>
          </w:p>
        </w:tc>
        <w:tc>
          <w:tcPr>
            <w:tcW w:type="dxa" w:w="936"/>
            <w:tcBorders>
              <w:start w:sz="4" w:val="single"/>
              <w:top w:sz="4" w:val="single"/>
              <w:end w:sz="4" w:val="single"/>
              <w:bottom w:sz="4" w:val="single"/>
            </w:tcBorders>
          </w:tcPr>
          <w:p>
            <w:pPr>
              <w:pStyle w:val="table_body_style__para"/>
            </w:pPr>
            <w:r>
              <w:t>1413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target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4.79</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16.0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90.0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0.30106</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0.36682</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0.29165</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0.33271</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0.33964</w:t>
            </w:r>
          </w:p>
        </w:tc>
      </w:tr>
    </w:tbl>
    <w:p>
      <w:pPr>
        <w:pStyle w:val="H1_style__para"/>
      </w:pPr>
      <w:r>
        <w:t xml:space="preserve">6.1.2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0.3264</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0.3249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0.3011</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This section is not available when multiclass projects have more than 10 classes and are trained on 100% of the data.</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ID</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14.1675</w:t>
            </w:r>
          </w:p>
        </w:tc>
      </w:tr>
    </w:tbl>
    <w:p>
      <w:pPr>
        <w:pStyle w:val="H1_style__para"/>
      </w:pPr>
      <w:r>
        <w:t xml:space="preserve">6.3.3   </w:t>
      </w:r>
      <w:r>
        <w:t>Accuracy</w:t>
      </w:r>
    </w:p>
    <w:p>
      <w:pPr>
        <w:pStyle w:val="body_style__para"/>
      </w:pPr>
      <w:r>
        <w:t>The table below lists, for each class, metrics to indicate how accurate the model was at predicting the class. The measurement is done by comparing the actual class assignment to the model's predicted assignment. Brief descriptions of each accuracy metric follow:</w:t>
      </w:r>
    </w:p>
    <w:p>
      <w:pPr>
        <w:pStyle w:val="ListBullet"/>
      </w:pPr>
      <w:r>
        <w:t>F1 Score: A measure of the model's accuracy, based on the True Positive Rate and Positive Predictive Value.</w:t>
      </w:r>
    </w:p>
    <w:p>
      <w:pPr>
        <w:pStyle w:val="ListBullet"/>
      </w:pPr>
      <w:r>
        <w:t>True Positive Rate: The ratio of true positives (correctly predicted as positive) to all actual positives. Also called sensitivity or recall.</w:t>
      </w:r>
    </w:p>
    <w:p>
      <w:pPr>
        <w:pStyle w:val="ListBullet"/>
      </w:pPr>
      <w:r>
        <w:t>Positive Predictive Value: For all the positive predictions, the percentage of cases in which the model was correct. Also called precision.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Class Name</w:t>
            </w:r>
          </w:p>
        </w:tc>
        <w:tc>
          <w:tcPr>
            <w:tcW w:type="dxa" w:w="2340"/>
            <w:tcBorders>
              <w:start w:sz="4" w:val="single"/>
              <w:top w:sz="4" w:val="single"/>
              <w:end w:sz="4" w:val="single"/>
              <w:bottom w:sz="4" w:val="single"/>
            </w:tcBorders>
          </w:tcPr>
          <w:p>
            <w:pPr>
              <w:pStyle w:val="table_header_style__para"/>
            </w:pPr>
            <w:r>
              <w:rPr>
                <w:rStyle w:val="strong_emphasis_style__char"/>
              </w:rPr>
              <w:t>F1 Score</w:t>
            </w:r>
          </w:p>
        </w:tc>
        <w:tc>
          <w:tcPr>
            <w:tcW w:type="dxa" w:w="234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2340"/>
            <w:tcBorders>
              <w:start w:sz="4" w:val="single"/>
              <w:top w:sz="4" w:val="single"/>
              <w:end w:sz="4" w:val="single"/>
              <w:bottom w:sz="4" w:val="single"/>
            </w:tcBorders>
          </w:tcPr>
          <w:p>
            <w:pPr>
              <w:pStyle w:val="table_header_style__para"/>
            </w:pPr>
            <w:r>
              <w:rPr>
                <w:rStyle w:val="strong_emphasis_style__char"/>
              </w:rPr>
              <w:t>Positive Predictive Value</w:t>
            </w:r>
          </w:p>
        </w:tc>
      </w:tr>
      <w:tr>
        <w:tc>
          <w:tcPr>
            <w:tcW w:type="dxa" w:w="2340"/>
            <w:tcBorders>
              <w:start w:sz="4" w:val="single"/>
              <w:top w:sz="4" w:val="single"/>
              <w:end w:sz="4" w:val="single"/>
              <w:bottom w:sz="4" w:val="single"/>
            </w:tcBorders>
          </w:tcPr>
          <w:p>
            <w:pPr>
              <w:pStyle w:val="table_body_style__para"/>
            </w:pPr>
            <w:r>
              <w:t>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11</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12</w:t>
            </w:r>
          </w:p>
        </w:tc>
        <w:tc>
          <w:tcPr>
            <w:tcW w:type="dxa" w:w="2340"/>
            <w:tcBorders>
              <w:start w:sz="4" w:val="single"/>
              <w:top w:sz="4" w:val="single"/>
              <w:end w:sz="4" w:val="single"/>
              <w:bottom w:sz="4" w:val="single"/>
            </w:tcBorders>
          </w:tcPr>
          <w:p>
            <w:pPr>
              <w:pStyle w:val="table_body_style__para"/>
            </w:pPr>
            <w:r>
              <w:t>0.9412</w:t>
            </w:r>
          </w:p>
        </w:tc>
        <w:tc>
          <w:tcPr>
            <w:tcW w:type="dxa" w:w="2340"/>
            <w:tcBorders>
              <w:start w:sz="4" w:val="single"/>
              <w:top w:sz="4" w:val="single"/>
              <w:end w:sz="4" w:val="single"/>
              <w:bottom w:sz="4" w:val="single"/>
            </w:tcBorders>
          </w:tcPr>
          <w:p>
            <w:pPr>
              <w:pStyle w:val="table_body_style__para"/>
            </w:pPr>
            <w:r>
              <w:t>0.8889</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13</w:t>
            </w:r>
          </w:p>
        </w:tc>
        <w:tc>
          <w:tcPr>
            <w:tcW w:type="dxa" w:w="2340"/>
            <w:tcBorders>
              <w:start w:sz="4" w:val="single"/>
              <w:top w:sz="4" w:val="single"/>
              <w:end w:sz="4" w:val="single"/>
              <w:bottom w:sz="4" w:val="single"/>
            </w:tcBorders>
          </w:tcPr>
          <w:p>
            <w:pPr>
              <w:pStyle w:val="table_body_style__para"/>
            </w:pPr>
            <w:r>
              <w:t>0.9412</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0.8889</w:t>
            </w:r>
          </w:p>
        </w:tc>
      </w:tr>
      <w:tr>
        <w:tc>
          <w:tcPr>
            <w:tcW w:type="dxa" w:w="2340"/>
            <w:tcBorders>
              <w:start w:sz="4" w:val="single"/>
              <w:top w:sz="4" w:val="single"/>
              <w:end w:sz="4" w:val="single"/>
              <w:bottom w:sz="4" w:val="single"/>
            </w:tcBorders>
          </w:tcPr>
          <w:p>
            <w:pPr>
              <w:pStyle w:val="table_body_style__para"/>
            </w:pPr>
            <w:r>
              <w:t>14</w:t>
            </w:r>
          </w:p>
        </w:tc>
        <w:tc>
          <w:tcPr>
            <w:tcW w:type="dxa" w:w="2340"/>
            <w:tcBorders>
              <w:start w:sz="4" w:val="single"/>
              <w:top w:sz="4" w:val="single"/>
              <w:end w:sz="4" w:val="single"/>
              <w:bottom w:sz="4" w:val="single"/>
            </w:tcBorders>
          </w:tcPr>
          <w:p>
            <w:pPr>
              <w:pStyle w:val="table_body_style__para"/>
            </w:pPr>
            <w:r>
              <w:t>0.7692</w:t>
            </w:r>
          </w:p>
        </w:tc>
        <w:tc>
          <w:tcPr>
            <w:tcW w:type="dxa" w:w="2340"/>
            <w:tcBorders>
              <w:start w:sz="4" w:val="single"/>
              <w:top w:sz="4" w:val="single"/>
              <w:end w:sz="4" w:val="single"/>
              <w:bottom w:sz="4" w:val="single"/>
            </w:tcBorders>
          </w:tcPr>
          <w:p>
            <w:pPr>
              <w:pStyle w:val="table_body_style__para"/>
            </w:pPr>
            <w:r>
              <w:t>0.8333</w:t>
            </w:r>
          </w:p>
        </w:tc>
        <w:tc>
          <w:tcPr>
            <w:tcW w:type="dxa" w:w="2340"/>
            <w:tcBorders>
              <w:start w:sz="4" w:val="single"/>
              <w:top w:sz="4" w:val="single"/>
              <w:end w:sz="4" w:val="single"/>
              <w:bottom w:sz="4" w:val="single"/>
            </w:tcBorders>
          </w:tcPr>
          <w:p>
            <w:pPr>
              <w:pStyle w:val="table_body_style__para"/>
            </w:pPr>
            <w:r>
              <w:t>0.7143</w:t>
            </w:r>
          </w:p>
        </w:tc>
      </w:tr>
      <w:tr>
        <w:tc>
          <w:tcPr>
            <w:tcW w:type="dxa" w:w="2340"/>
            <w:tcBorders>
              <w:start w:sz="4" w:val="single"/>
              <w:top w:sz="4" w:val="single"/>
              <w:end w:sz="4" w:val="single"/>
              <w:bottom w:sz="4" w:val="single"/>
            </w:tcBorders>
          </w:tcPr>
          <w:p>
            <w:pPr>
              <w:pStyle w:val="table_body_style__para"/>
            </w:pPr>
            <w:r>
              <w:t>15</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16</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2</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3</w:t>
            </w:r>
          </w:p>
        </w:tc>
        <w:tc>
          <w:tcPr>
            <w:tcW w:type="dxa" w:w="2340"/>
            <w:tcBorders>
              <w:start w:sz="4" w:val="single"/>
              <w:top w:sz="4" w:val="single"/>
              <w:end w:sz="4" w:val="single"/>
              <w:bottom w:sz="4" w:val="single"/>
            </w:tcBorders>
          </w:tcPr>
          <w:p>
            <w:pPr>
              <w:pStyle w:val="table_body_style__para"/>
            </w:pPr>
            <w:r>
              <w:t>0.8</w:t>
            </w:r>
          </w:p>
        </w:tc>
        <w:tc>
          <w:tcPr>
            <w:tcW w:type="dxa" w:w="2340"/>
            <w:tcBorders>
              <w:start w:sz="4" w:val="single"/>
              <w:top w:sz="4" w:val="single"/>
              <w:end w:sz="4" w:val="single"/>
              <w:bottom w:sz="4" w:val="single"/>
            </w:tcBorders>
          </w:tcPr>
          <w:p>
            <w:pPr>
              <w:pStyle w:val="table_body_style__para"/>
            </w:pPr>
            <w:r>
              <w:t>0.7143</w:t>
            </w:r>
          </w:p>
        </w:tc>
        <w:tc>
          <w:tcPr>
            <w:tcW w:type="dxa" w:w="2340"/>
            <w:tcBorders>
              <w:start w:sz="4" w:val="single"/>
              <w:top w:sz="4" w:val="single"/>
              <w:end w:sz="4" w:val="single"/>
              <w:bottom w:sz="4" w:val="single"/>
            </w:tcBorders>
          </w:tcPr>
          <w:p>
            <w:pPr>
              <w:pStyle w:val="table_body_style__para"/>
            </w:pPr>
            <w:r>
              <w:t>0.9091</w:t>
            </w:r>
          </w:p>
        </w:tc>
      </w:tr>
      <w:tr>
        <w:tc>
          <w:tcPr>
            <w:tcW w:type="dxa" w:w="2340"/>
            <w:tcBorders>
              <w:start w:sz="4" w:val="single"/>
              <w:top w:sz="4" w:val="single"/>
              <w:end w:sz="4" w:val="single"/>
              <w:bottom w:sz="4" w:val="single"/>
            </w:tcBorders>
          </w:tcPr>
          <w:p>
            <w:pPr>
              <w:pStyle w:val="table_body_style__para"/>
            </w:pPr>
            <w:r>
              <w:t>4</w:t>
            </w:r>
          </w:p>
        </w:tc>
        <w:tc>
          <w:tcPr>
            <w:tcW w:type="dxa" w:w="2340"/>
            <w:tcBorders>
              <w:start w:sz="4" w:val="single"/>
              <w:top w:sz="4" w:val="single"/>
              <w:end w:sz="4" w:val="single"/>
              <w:bottom w:sz="4" w:val="single"/>
            </w:tcBorders>
          </w:tcPr>
          <w:p>
            <w:pPr>
              <w:pStyle w:val="table_body_style__para"/>
            </w:pPr>
            <w:r>
              <w:t>0.7</w:t>
            </w:r>
          </w:p>
        </w:tc>
        <w:tc>
          <w:tcPr>
            <w:tcW w:type="dxa" w:w="2340"/>
            <w:tcBorders>
              <w:start w:sz="4" w:val="single"/>
              <w:top w:sz="4" w:val="single"/>
              <w:end w:sz="4" w:val="single"/>
              <w:bottom w:sz="4" w:val="single"/>
            </w:tcBorders>
          </w:tcPr>
          <w:p>
            <w:pPr>
              <w:pStyle w:val="table_body_style__para"/>
            </w:pPr>
            <w:r>
              <w:t>0.6364</w:t>
            </w:r>
          </w:p>
        </w:tc>
        <w:tc>
          <w:tcPr>
            <w:tcW w:type="dxa" w:w="2340"/>
            <w:tcBorders>
              <w:start w:sz="4" w:val="single"/>
              <w:top w:sz="4" w:val="single"/>
              <w:end w:sz="4" w:val="single"/>
              <w:bottom w:sz="4" w:val="single"/>
            </w:tcBorders>
          </w:tcPr>
          <w:p>
            <w:pPr>
              <w:pStyle w:val="table_body_style__para"/>
            </w:pPr>
            <w:r>
              <w:t>0.7778</w:t>
            </w:r>
          </w:p>
        </w:tc>
      </w:tr>
      <w:tr>
        <w:tc>
          <w:tcPr>
            <w:tcW w:type="dxa" w:w="2340"/>
            <w:tcBorders>
              <w:start w:sz="4" w:val="single"/>
              <w:top w:sz="4" w:val="single"/>
              <w:end w:sz="4" w:val="single"/>
              <w:bottom w:sz="4" w:val="single"/>
            </w:tcBorders>
          </w:tcPr>
          <w:p>
            <w:pPr>
              <w:pStyle w:val="table_body_style__para"/>
            </w:pPr>
            <w:r>
              <w:t>5</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6</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7</w:t>
            </w:r>
          </w:p>
        </w:tc>
        <w:tc>
          <w:tcPr>
            <w:tcW w:type="dxa" w:w="2340"/>
            <w:tcBorders>
              <w:start w:sz="4" w:val="single"/>
              <w:top w:sz="4" w:val="single"/>
              <w:end w:sz="4" w:val="single"/>
              <w:bottom w:sz="4" w:val="single"/>
            </w:tcBorders>
          </w:tcPr>
          <w:p>
            <w:pPr>
              <w:pStyle w:val="table_body_style__para"/>
            </w:pPr>
            <w:r>
              <w:t>0.4444</w:t>
            </w:r>
          </w:p>
        </w:tc>
        <w:tc>
          <w:tcPr>
            <w:tcW w:type="dxa" w:w="2340"/>
            <w:tcBorders>
              <w:start w:sz="4" w:val="single"/>
              <w:top w:sz="4" w:val="single"/>
              <w:end w:sz="4" w:val="single"/>
              <w:bottom w:sz="4" w:val="single"/>
            </w:tcBorders>
          </w:tcPr>
          <w:p>
            <w:pPr>
              <w:pStyle w:val="table_body_style__para"/>
            </w:pPr>
            <w:r>
              <w:t>0.5714</w:t>
            </w:r>
          </w:p>
        </w:tc>
        <w:tc>
          <w:tcPr>
            <w:tcW w:type="dxa" w:w="2340"/>
            <w:tcBorders>
              <w:start w:sz="4" w:val="single"/>
              <w:top w:sz="4" w:val="single"/>
              <w:end w:sz="4" w:val="single"/>
              <w:bottom w:sz="4" w:val="single"/>
            </w:tcBorders>
          </w:tcPr>
          <w:p>
            <w:pPr>
              <w:pStyle w:val="table_body_style__para"/>
            </w:pPr>
            <w:r>
              <w:t>0.3636</w:t>
            </w:r>
          </w:p>
        </w:tc>
      </w:tr>
      <w:tr>
        <w:tc>
          <w:tcPr>
            <w:tcW w:type="dxa" w:w="2340"/>
            <w:tcBorders>
              <w:start w:sz="4" w:val="single"/>
              <w:top w:sz="4" w:val="single"/>
              <w:end w:sz="4" w:val="single"/>
              <w:bottom w:sz="4" w:val="single"/>
            </w:tcBorders>
          </w:tcPr>
          <w:p>
            <w:pPr>
              <w:pStyle w:val="table_body_style__para"/>
            </w:pPr>
            <w:r>
              <w:t>8</w:t>
            </w:r>
          </w:p>
        </w:tc>
        <w:tc>
          <w:tcPr>
            <w:tcW w:type="dxa" w:w="2340"/>
            <w:tcBorders>
              <w:start w:sz="4" w:val="single"/>
              <w:top w:sz="4" w:val="single"/>
              <w:end w:sz="4" w:val="single"/>
              <w:bottom w:sz="4" w:val="single"/>
            </w:tcBorders>
          </w:tcPr>
          <w:p>
            <w:pPr>
              <w:pStyle w:val="table_body_style__para"/>
            </w:pPr>
            <w:r>
              <w:t>0.9677</w:t>
            </w:r>
          </w:p>
        </w:tc>
        <w:tc>
          <w:tcPr>
            <w:tcW w:type="dxa" w:w="2340"/>
            <w:tcBorders>
              <w:start w:sz="4" w:val="single"/>
              <w:top w:sz="4" w:val="single"/>
              <w:end w:sz="4" w:val="single"/>
              <w:bottom w:sz="4" w:val="single"/>
            </w:tcBorders>
          </w:tcPr>
          <w:p>
            <w:pPr>
              <w:pStyle w:val="table_body_style__para"/>
            </w:pPr>
            <w:r>
              <w:t>0.9375</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9</w:t>
            </w:r>
          </w:p>
        </w:tc>
        <w:tc>
          <w:tcPr>
            <w:tcW w:type="dxa" w:w="2340"/>
            <w:tcBorders>
              <w:start w:sz="4" w:val="single"/>
              <w:top w:sz="4" w:val="single"/>
              <w:end w:sz="4" w:val="single"/>
              <w:bottom w:sz="4" w:val="single"/>
            </w:tcBorders>
          </w:tcPr>
          <w:p>
            <w:pPr>
              <w:pStyle w:val="table_body_style__para"/>
            </w:pPr>
            <w:r>
              <w:t>0.9474</w:t>
            </w:r>
          </w:p>
        </w:tc>
        <w:tc>
          <w:tcPr>
            <w:tcW w:type="dxa" w:w="2340"/>
            <w:tcBorders>
              <w:start w:sz="4" w:val="single"/>
              <w:top w:sz="4" w:val="single"/>
              <w:end w:sz="4" w:val="single"/>
              <w:bottom w:sz="4" w:val="single"/>
            </w:tcBorders>
          </w:tcPr>
          <w:p>
            <w:pPr>
              <w:pStyle w:val="table_body_style__para"/>
            </w:pPr>
            <w:r>
              <w:t>1.0</w:t>
            </w:r>
          </w:p>
        </w:tc>
        <w:tc>
          <w:tcPr>
            <w:tcW w:type="dxa" w:w="2340"/>
            <w:tcBorders>
              <w:start w:sz="4" w:val="single"/>
              <w:top w:sz="4" w:val="single"/>
              <w:end w:sz="4" w:val="single"/>
              <w:bottom w:sz="4" w:val="single"/>
            </w:tcBorders>
          </w:tcPr>
          <w:p>
            <w:pPr>
              <w:pStyle w:val="table_body_style__para"/>
            </w:pPr>
            <w:r>
              <w:t>0.9</w:t>
            </w:r>
          </w:p>
        </w:tc>
      </w:tr>
    </w:tbl>
    <w:p>
      <w:pPr>
        <w:pStyle w:val="body_style__para"/>
      </w:pPr>
      <w:r>
        <w:t>For multiclass models, DataRobot provides a multiclass confusion matrix to help evaluate model performance. A confusion matrix is a visualization that helps you see which classes the model most often confuses with one another. The confusion matrix is the result of comparing the actual class against each of the possible predicted classes. The green points represent instances when the model predicted the correct class while the red points represent when the model was incorrect. The size of the points indicate the number of predictions made for a class. If your model has more than ten classes, only the first ten (based on actual frequency) are shown below, in descending order for the validation partition.</w:t>
      </w:r>
    </w:p>
    <w:p>
      <w:pPr>
        <w:pStyle w:val="image_style__para"/>
      </w:pPr>
      <w:r>
        <w:drawing>
          <wp:inline xmlns:a="http://schemas.openxmlformats.org/drawingml/2006/main" xmlns:pic="http://schemas.openxmlformats.org/drawingml/2006/picture">
            <wp:extent cx="5943600" cy="59436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59436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